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B625D" w:rsidRDefault="002B625D" w:rsidP="002B625D">
      <w:pPr>
        <w:jc w:val="center"/>
        <w:rPr>
          <w:rFonts w:asciiTheme="minorEastAsia" w:hAnsiTheme="minorEastAsia" w:hint="eastAsia"/>
          <w:sz w:val="36"/>
          <w:szCs w:val="36"/>
        </w:rPr>
      </w:pPr>
      <w:r w:rsidRPr="002B625D">
        <w:rPr>
          <w:rFonts w:asciiTheme="minorEastAsia" w:hAnsiTheme="minorEastAsia" w:hint="eastAsia"/>
          <w:sz w:val="36"/>
          <w:szCs w:val="36"/>
        </w:rPr>
        <w:t>黑龙江省九三农垦北大荒马铃薯产业有限公司</w:t>
      </w:r>
    </w:p>
    <w:p w:rsidR="002B625D" w:rsidRPr="002B625D" w:rsidRDefault="002B625D" w:rsidP="002B625D">
      <w:pPr>
        <w:jc w:val="center"/>
        <w:rPr>
          <w:rFonts w:asciiTheme="minorEastAsia" w:hAnsiTheme="minorEastAsia" w:hint="eastAsia"/>
          <w:sz w:val="36"/>
          <w:szCs w:val="36"/>
        </w:rPr>
      </w:pPr>
      <w:r w:rsidRPr="002B625D">
        <w:rPr>
          <w:rFonts w:asciiTheme="minorEastAsia" w:hAnsiTheme="minorEastAsia" w:hint="eastAsia"/>
          <w:sz w:val="36"/>
          <w:szCs w:val="36"/>
        </w:rPr>
        <w:t>自行监测年度报告</w:t>
      </w:r>
    </w:p>
    <w:p w:rsidR="002B625D" w:rsidRDefault="002B625D">
      <w:pPr>
        <w:rPr>
          <w:rFonts w:ascii="仿宋" w:eastAsia="仿宋" w:hAnsi="仿宋" w:hint="eastAsia"/>
          <w:sz w:val="32"/>
          <w:szCs w:val="32"/>
        </w:rPr>
      </w:pPr>
    </w:p>
    <w:p w:rsidR="002B625D" w:rsidRDefault="002B625D" w:rsidP="002B625D">
      <w:pPr>
        <w:ind w:firstLine="645"/>
        <w:rPr>
          <w:rFonts w:ascii="仿宋" w:eastAsia="仿宋" w:hAnsi="仿宋" w:hint="eastAsia"/>
          <w:sz w:val="32"/>
          <w:szCs w:val="32"/>
        </w:rPr>
      </w:pPr>
      <w:r>
        <w:rPr>
          <w:rFonts w:ascii="仿宋" w:eastAsia="仿宋" w:hAnsi="仿宋" w:hint="eastAsia"/>
          <w:sz w:val="32"/>
          <w:szCs w:val="32"/>
        </w:rPr>
        <w:t>根据《国家重点监控企业自行监测及信息公开办法（试行）》哟爱去，现予以公布黑龙江省九三农垦北大荒马铃薯产业有限公司自行监测情况。</w:t>
      </w:r>
    </w:p>
    <w:p w:rsidR="002B625D" w:rsidRPr="002B625D" w:rsidRDefault="002B625D" w:rsidP="002B625D">
      <w:pPr>
        <w:pStyle w:val="a5"/>
        <w:numPr>
          <w:ilvl w:val="0"/>
          <w:numId w:val="1"/>
        </w:numPr>
        <w:ind w:firstLineChars="0"/>
        <w:rPr>
          <w:rFonts w:ascii="仿宋" w:eastAsia="仿宋" w:hAnsi="仿宋" w:hint="eastAsia"/>
          <w:sz w:val="32"/>
          <w:szCs w:val="32"/>
        </w:rPr>
      </w:pPr>
      <w:r w:rsidRPr="002B625D">
        <w:rPr>
          <w:rFonts w:ascii="仿宋" w:eastAsia="仿宋" w:hAnsi="仿宋" w:hint="eastAsia"/>
          <w:sz w:val="32"/>
          <w:szCs w:val="32"/>
        </w:rPr>
        <w:t>企业生产概况</w:t>
      </w:r>
    </w:p>
    <w:p w:rsidR="002B625D" w:rsidRDefault="002B625D" w:rsidP="002B625D">
      <w:pPr>
        <w:ind w:firstLineChars="200" w:firstLine="640"/>
        <w:rPr>
          <w:rFonts w:ascii="仿宋" w:eastAsia="仿宋" w:hAnsi="仿宋" w:hint="eastAsia"/>
          <w:sz w:val="32"/>
          <w:szCs w:val="32"/>
        </w:rPr>
      </w:pPr>
      <w:r>
        <w:rPr>
          <w:rFonts w:ascii="仿宋" w:eastAsia="仿宋" w:hAnsi="仿宋" w:hint="eastAsia"/>
          <w:sz w:val="32"/>
          <w:szCs w:val="32"/>
        </w:rPr>
        <w:t>公司年加工马铃薯81581.096吨，生产淀粉13463.25吨，产生有机肥水19.5万m³，消耗原煤4200吨，薯渣2000吨，炉灰1600吨。</w:t>
      </w:r>
    </w:p>
    <w:p w:rsidR="002B625D" w:rsidRDefault="002B625D" w:rsidP="002B625D">
      <w:pPr>
        <w:ind w:firstLineChars="200" w:firstLine="640"/>
        <w:rPr>
          <w:rFonts w:ascii="仿宋" w:eastAsia="仿宋" w:hAnsi="仿宋" w:hint="eastAsia"/>
          <w:sz w:val="32"/>
          <w:szCs w:val="32"/>
        </w:rPr>
      </w:pPr>
      <w:r>
        <w:rPr>
          <w:rFonts w:ascii="仿宋" w:eastAsia="仿宋" w:hAnsi="仿宋" w:hint="eastAsia"/>
          <w:sz w:val="32"/>
          <w:szCs w:val="32"/>
        </w:rPr>
        <w:t>二、2018年公司污染物处理情况</w:t>
      </w:r>
    </w:p>
    <w:p w:rsidR="002B625D" w:rsidRDefault="002B625D" w:rsidP="002B625D">
      <w:pPr>
        <w:ind w:firstLineChars="200" w:firstLine="640"/>
        <w:rPr>
          <w:rFonts w:ascii="仿宋" w:eastAsia="仿宋" w:hAnsi="仿宋" w:hint="eastAsia"/>
          <w:sz w:val="32"/>
          <w:szCs w:val="32"/>
        </w:rPr>
      </w:pPr>
      <w:r>
        <w:rPr>
          <w:rFonts w:ascii="仿宋" w:eastAsia="仿宋" w:hAnsi="仿宋" w:hint="eastAsia"/>
          <w:sz w:val="32"/>
          <w:szCs w:val="32"/>
        </w:rPr>
        <w:t>1、有机肥水（生产汁水）进行农田灌溉利用，喷灌农田10000亩，喷灌质量符合《马铃薯淀粉工业有机肥水农田利用技术规范》要求。经地下水取样经第三方（普尼检测）检测，地下水合格，未造成地下水污染。</w:t>
      </w:r>
    </w:p>
    <w:p w:rsidR="002B625D" w:rsidRDefault="002B625D" w:rsidP="002B625D">
      <w:pPr>
        <w:ind w:firstLineChars="200" w:firstLine="640"/>
        <w:rPr>
          <w:rFonts w:ascii="仿宋" w:eastAsia="仿宋" w:hAnsi="仿宋" w:hint="eastAsia"/>
          <w:sz w:val="32"/>
          <w:szCs w:val="32"/>
        </w:rPr>
      </w:pPr>
      <w:r>
        <w:rPr>
          <w:rFonts w:ascii="仿宋" w:eastAsia="仿宋" w:hAnsi="仿宋" w:hint="eastAsia"/>
          <w:sz w:val="32"/>
          <w:szCs w:val="32"/>
        </w:rPr>
        <w:t>2、薯渣进行农田抛洒返田处理，利用农田2000亩，经过秋冬季的有机氧化后，利于农田作物的吸收。</w:t>
      </w:r>
    </w:p>
    <w:p w:rsidR="002B625D" w:rsidRDefault="002B625D" w:rsidP="002B625D">
      <w:pPr>
        <w:ind w:firstLineChars="200" w:firstLine="640"/>
        <w:rPr>
          <w:rFonts w:ascii="仿宋" w:eastAsia="仿宋" w:hAnsi="仿宋" w:hint="eastAsia"/>
          <w:sz w:val="32"/>
          <w:szCs w:val="32"/>
        </w:rPr>
      </w:pPr>
      <w:r>
        <w:rPr>
          <w:rFonts w:ascii="仿宋" w:eastAsia="仿宋" w:hAnsi="仿宋" w:hint="eastAsia"/>
          <w:sz w:val="32"/>
          <w:szCs w:val="32"/>
        </w:rPr>
        <w:t>3、炉渣与周边砖厂进行合作，无偿提供炉灰，砖厂生产加工制砖利用。</w:t>
      </w:r>
    </w:p>
    <w:p w:rsidR="002B625D" w:rsidRDefault="002B625D" w:rsidP="002B625D">
      <w:pPr>
        <w:ind w:firstLineChars="200" w:firstLine="640"/>
        <w:rPr>
          <w:rFonts w:ascii="仿宋" w:eastAsia="仿宋" w:hAnsi="仿宋" w:hint="eastAsia"/>
          <w:sz w:val="32"/>
          <w:szCs w:val="32"/>
        </w:rPr>
      </w:pPr>
      <w:r>
        <w:rPr>
          <w:rFonts w:ascii="仿宋" w:eastAsia="仿宋" w:hAnsi="仿宋" w:hint="eastAsia"/>
          <w:sz w:val="32"/>
          <w:szCs w:val="32"/>
        </w:rPr>
        <w:t>三、自行监测结果</w:t>
      </w:r>
    </w:p>
    <w:p w:rsidR="002B625D" w:rsidRDefault="002B625D" w:rsidP="002B625D">
      <w:pPr>
        <w:ind w:firstLineChars="200" w:firstLine="640"/>
        <w:rPr>
          <w:rFonts w:ascii="仿宋" w:eastAsia="仿宋" w:hAnsi="仿宋" w:hint="eastAsia"/>
          <w:sz w:val="32"/>
          <w:szCs w:val="32"/>
        </w:rPr>
      </w:pPr>
      <w:r>
        <w:rPr>
          <w:rFonts w:ascii="仿宋" w:eastAsia="仿宋" w:hAnsi="仿宋" w:hint="eastAsia"/>
          <w:sz w:val="32"/>
          <w:szCs w:val="32"/>
        </w:rPr>
        <w:t>公司从2018年8月25日开机至2018年10月30日生产结束历时71天，其中由于秋季下雨影响马铃薯的起收工</w:t>
      </w:r>
      <w:r>
        <w:rPr>
          <w:rFonts w:ascii="仿宋" w:eastAsia="仿宋" w:hAnsi="仿宋" w:hint="eastAsia"/>
          <w:sz w:val="32"/>
          <w:szCs w:val="32"/>
        </w:rPr>
        <w:lastRenderedPageBreak/>
        <w:t>作，实际连续加工45天。</w:t>
      </w:r>
    </w:p>
    <w:p w:rsidR="002B625D" w:rsidRDefault="002B625D" w:rsidP="002B625D">
      <w:pPr>
        <w:ind w:firstLineChars="200" w:firstLine="640"/>
        <w:rPr>
          <w:rFonts w:ascii="仿宋" w:eastAsia="仿宋" w:hAnsi="仿宋" w:hint="eastAsia"/>
          <w:sz w:val="32"/>
          <w:szCs w:val="32"/>
        </w:rPr>
      </w:pPr>
      <w:r>
        <w:rPr>
          <w:rFonts w:ascii="仿宋" w:eastAsia="仿宋" w:hAnsi="仿宋" w:hint="eastAsia"/>
          <w:sz w:val="32"/>
          <w:szCs w:val="32"/>
        </w:rPr>
        <w:t>生产监测汇总如下：</w:t>
      </w:r>
    </w:p>
    <w:tbl>
      <w:tblPr>
        <w:tblStyle w:val="a6"/>
        <w:tblW w:w="0" w:type="auto"/>
        <w:tblLook w:val="04A0"/>
      </w:tblPr>
      <w:tblGrid>
        <w:gridCol w:w="2130"/>
        <w:gridCol w:w="2130"/>
        <w:gridCol w:w="2131"/>
        <w:gridCol w:w="2131"/>
      </w:tblGrid>
      <w:tr w:rsidR="002B625D" w:rsidTr="002B625D">
        <w:tc>
          <w:tcPr>
            <w:tcW w:w="2130" w:type="dxa"/>
            <w:vAlign w:val="center"/>
          </w:tcPr>
          <w:p w:rsidR="002B625D" w:rsidRDefault="002B625D" w:rsidP="002B625D">
            <w:pPr>
              <w:jc w:val="center"/>
              <w:rPr>
                <w:rFonts w:ascii="仿宋" w:eastAsia="仿宋" w:hAnsi="仿宋"/>
                <w:sz w:val="32"/>
                <w:szCs w:val="32"/>
              </w:rPr>
            </w:pPr>
            <w:r>
              <w:rPr>
                <w:rFonts w:ascii="仿宋" w:eastAsia="仿宋" w:hAnsi="仿宋" w:hint="eastAsia"/>
                <w:sz w:val="32"/>
                <w:szCs w:val="32"/>
              </w:rPr>
              <w:t>项目</w:t>
            </w:r>
          </w:p>
        </w:tc>
        <w:tc>
          <w:tcPr>
            <w:tcW w:w="2130" w:type="dxa"/>
            <w:vAlign w:val="center"/>
          </w:tcPr>
          <w:p w:rsidR="002B625D" w:rsidRDefault="0074555F" w:rsidP="002B625D">
            <w:pPr>
              <w:jc w:val="center"/>
              <w:rPr>
                <w:rFonts w:ascii="仿宋" w:eastAsia="仿宋" w:hAnsi="仿宋"/>
                <w:sz w:val="32"/>
                <w:szCs w:val="32"/>
              </w:rPr>
            </w:pPr>
            <w:r>
              <w:rPr>
                <w:rFonts w:ascii="仿宋" w:eastAsia="仿宋" w:hAnsi="仿宋" w:hint="eastAsia"/>
                <w:sz w:val="32"/>
                <w:szCs w:val="32"/>
              </w:rPr>
              <w:t>生产天数</w:t>
            </w:r>
          </w:p>
        </w:tc>
        <w:tc>
          <w:tcPr>
            <w:tcW w:w="2131" w:type="dxa"/>
            <w:vAlign w:val="center"/>
          </w:tcPr>
          <w:p w:rsidR="002B625D" w:rsidRDefault="0074555F" w:rsidP="002B625D">
            <w:pPr>
              <w:jc w:val="center"/>
              <w:rPr>
                <w:rFonts w:ascii="仿宋" w:eastAsia="仿宋" w:hAnsi="仿宋"/>
                <w:sz w:val="32"/>
                <w:szCs w:val="32"/>
              </w:rPr>
            </w:pPr>
            <w:r>
              <w:rPr>
                <w:rFonts w:ascii="仿宋" w:eastAsia="仿宋" w:hAnsi="仿宋" w:hint="eastAsia"/>
                <w:sz w:val="32"/>
                <w:szCs w:val="32"/>
              </w:rPr>
              <w:t>监测次数</w:t>
            </w:r>
          </w:p>
        </w:tc>
        <w:tc>
          <w:tcPr>
            <w:tcW w:w="2131" w:type="dxa"/>
            <w:vAlign w:val="center"/>
          </w:tcPr>
          <w:p w:rsidR="002B625D" w:rsidRDefault="0074555F" w:rsidP="002B625D">
            <w:pPr>
              <w:jc w:val="center"/>
              <w:rPr>
                <w:rFonts w:ascii="仿宋" w:eastAsia="仿宋" w:hAnsi="仿宋"/>
                <w:sz w:val="32"/>
                <w:szCs w:val="32"/>
              </w:rPr>
            </w:pPr>
            <w:r>
              <w:rPr>
                <w:rFonts w:ascii="仿宋" w:eastAsia="仿宋" w:hAnsi="仿宋" w:hint="eastAsia"/>
                <w:sz w:val="32"/>
                <w:szCs w:val="32"/>
              </w:rPr>
              <w:t>平均值</w:t>
            </w:r>
          </w:p>
        </w:tc>
      </w:tr>
      <w:tr w:rsidR="002B625D" w:rsidTr="002B625D">
        <w:tc>
          <w:tcPr>
            <w:tcW w:w="2130" w:type="dxa"/>
            <w:vAlign w:val="center"/>
          </w:tcPr>
          <w:p w:rsidR="002B625D" w:rsidRDefault="0074555F" w:rsidP="002B625D">
            <w:pPr>
              <w:jc w:val="center"/>
              <w:rPr>
                <w:rFonts w:ascii="仿宋" w:eastAsia="仿宋" w:hAnsi="仿宋"/>
                <w:sz w:val="32"/>
                <w:szCs w:val="32"/>
              </w:rPr>
            </w:pPr>
            <w:r>
              <w:rPr>
                <w:rFonts w:ascii="仿宋" w:eastAsia="仿宋" w:hAnsi="仿宋" w:hint="eastAsia"/>
                <w:sz w:val="32"/>
                <w:szCs w:val="32"/>
              </w:rPr>
              <w:t>COD</w:t>
            </w:r>
          </w:p>
        </w:tc>
        <w:tc>
          <w:tcPr>
            <w:tcW w:w="2130" w:type="dxa"/>
            <w:vAlign w:val="center"/>
          </w:tcPr>
          <w:p w:rsidR="002B625D" w:rsidRDefault="0074555F" w:rsidP="002B625D">
            <w:pPr>
              <w:jc w:val="center"/>
              <w:rPr>
                <w:rFonts w:ascii="仿宋" w:eastAsia="仿宋" w:hAnsi="仿宋"/>
                <w:sz w:val="32"/>
                <w:szCs w:val="32"/>
              </w:rPr>
            </w:pPr>
            <w:r>
              <w:rPr>
                <w:rFonts w:ascii="仿宋" w:eastAsia="仿宋" w:hAnsi="仿宋" w:hint="eastAsia"/>
                <w:sz w:val="32"/>
                <w:szCs w:val="32"/>
              </w:rPr>
              <w:t>45</w:t>
            </w:r>
          </w:p>
        </w:tc>
        <w:tc>
          <w:tcPr>
            <w:tcW w:w="2131" w:type="dxa"/>
            <w:vAlign w:val="center"/>
          </w:tcPr>
          <w:p w:rsidR="002B625D" w:rsidRDefault="0074555F" w:rsidP="002B625D">
            <w:pPr>
              <w:jc w:val="center"/>
              <w:rPr>
                <w:rFonts w:ascii="仿宋" w:eastAsia="仿宋" w:hAnsi="仿宋"/>
                <w:sz w:val="32"/>
                <w:szCs w:val="32"/>
              </w:rPr>
            </w:pPr>
            <w:r>
              <w:rPr>
                <w:rFonts w:ascii="仿宋" w:eastAsia="仿宋" w:hAnsi="仿宋" w:hint="eastAsia"/>
                <w:sz w:val="32"/>
                <w:szCs w:val="32"/>
              </w:rPr>
              <w:t>7</w:t>
            </w:r>
          </w:p>
        </w:tc>
        <w:tc>
          <w:tcPr>
            <w:tcW w:w="2131" w:type="dxa"/>
            <w:vAlign w:val="center"/>
          </w:tcPr>
          <w:p w:rsidR="002B625D" w:rsidRDefault="0074555F" w:rsidP="002B625D">
            <w:pPr>
              <w:jc w:val="center"/>
              <w:rPr>
                <w:rFonts w:ascii="仿宋" w:eastAsia="仿宋" w:hAnsi="仿宋"/>
                <w:sz w:val="32"/>
                <w:szCs w:val="32"/>
              </w:rPr>
            </w:pPr>
            <w:r>
              <w:rPr>
                <w:rFonts w:ascii="仿宋" w:eastAsia="仿宋" w:hAnsi="仿宋" w:hint="eastAsia"/>
                <w:sz w:val="32"/>
                <w:szCs w:val="32"/>
              </w:rPr>
              <w:t>298mg/L</w:t>
            </w:r>
          </w:p>
        </w:tc>
      </w:tr>
      <w:tr w:rsidR="002B625D" w:rsidTr="002B625D">
        <w:tc>
          <w:tcPr>
            <w:tcW w:w="2130" w:type="dxa"/>
            <w:vAlign w:val="center"/>
          </w:tcPr>
          <w:p w:rsidR="002B625D" w:rsidRDefault="0074555F" w:rsidP="002B625D">
            <w:pPr>
              <w:jc w:val="center"/>
              <w:rPr>
                <w:rFonts w:ascii="仿宋" w:eastAsia="仿宋" w:hAnsi="仿宋"/>
                <w:sz w:val="32"/>
                <w:szCs w:val="32"/>
              </w:rPr>
            </w:pPr>
            <w:r>
              <w:rPr>
                <w:rFonts w:ascii="仿宋" w:eastAsia="仿宋" w:hAnsi="仿宋" w:hint="eastAsia"/>
                <w:sz w:val="32"/>
                <w:szCs w:val="32"/>
              </w:rPr>
              <w:t>PH</w:t>
            </w:r>
          </w:p>
        </w:tc>
        <w:tc>
          <w:tcPr>
            <w:tcW w:w="2130" w:type="dxa"/>
            <w:vAlign w:val="center"/>
          </w:tcPr>
          <w:p w:rsidR="002B625D" w:rsidRDefault="0074555F" w:rsidP="002B625D">
            <w:pPr>
              <w:jc w:val="center"/>
              <w:rPr>
                <w:rFonts w:ascii="仿宋" w:eastAsia="仿宋" w:hAnsi="仿宋"/>
                <w:sz w:val="32"/>
                <w:szCs w:val="32"/>
              </w:rPr>
            </w:pPr>
            <w:r>
              <w:rPr>
                <w:rFonts w:ascii="仿宋" w:eastAsia="仿宋" w:hAnsi="仿宋" w:hint="eastAsia"/>
                <w:sz w:val="32"/>
                <w:szCs w:val="32"/>
              </w:rPr>
              <w:t>45</w:t>
            </w:r>
          </w:p>
        </w:tc>
        <w:tc>
          <w:tcPr>
            <w:tcW w:w="2131" w:type="dxa"/>
            <w:vAlign w:val="center"/>
          </w:tcPr>
          <w:p w:rsidR="002B625D" w:rsidRDefault="0074555F" w:rsidP="002B625D">
            <w:pPr>
              <w:jc w:val="center"/>
              <w:rPr>
                <w:rFonts w:ascii="仿宋" w:eastAsia="仿宋" w:hAnsi="仿宋"/>
                <w:sz w:val="32"/>
                <w:szCs w:val="32"/>
              </w:rPr>
            </w:pPr>
            <w:r>
              <w:rPr>
                <w:rFonts w:ascii="仿宋" w:eastAsia="仿宋" w:hAnsi="仿宋" w:hint="eastAsia"/>
                <w:sz w:val="32"/>
                <w:szCs w:val="32"/>
              </w:rPr>
              <w:t>7</w:t>
            </w:r>
          </w:p>
        </w:tc>
        <w:tc>
          <w:tcPr>
            <w:tcW w:w="2131" w:type="dxa"/>
            <w:vAlign w:val="center"/>
          </w:tcPr>
          <w:p w:rsidR="002B625D" w:rsidRDefault="0074555F" w:rsidP="002B625D">
            <w:pPr>
              <w:jc w:val="center"/>
              <w:rPr>
                <w:rFonts w:ascii="仿宋" w:eastAsia="仿宋" w:hAnsi="仿宋"/>
                <w:sz w:val="32"/>
                <w:szCs w:val="32"/>
              </w:rPr>
            </w:pPr>
            <w:r>
              <w:rPr>
                <w:rFonts w:ascii="仿宋" w:eastAsia="仿宋" w:hAnsi="仿宋" w:hint="eastAsia"/>
                <w:sz w:val="32"/>
                <w:szCs w:val="32"/>
              </w:rPr>
              <w:t>6.5-7.2</w:t>
            </w:r>
          </w:p>
        </w:tc>
      </w:tr>
    </w:tbl>
    <w:p w:rsidR="002B625D" w:rsidRDefault="0074555F" w:rsidP="002B625D">
      <w:pPr>
        <w:ind w:firstLineChars="200" w:firstLine="640"/>
        <w:rPr>
          <w:rFonts w:ascii="仿宋" w:eastAsia="仿宋" w:hAnsi="仿宋" w:hint="eastAsia"/>
          <w:sz w:val="32"/>
          <w:szCs w:val="32"/>
        </w:rPr>
      </w:pPr>
      <w:r>
        <w:rPr>
          <w:rFonts w:ascii="仿宋" w:eastAsia="仿宋" w:hAnsi="仿宋" w:hint="eastAsia"/>
          <w:sz w:val="32"/>
          <w:szCs w:val="32"/>
        </w:rPr>
        <w:t>四、委托监测结果</w:t>
      </w:r>
    </w:p>
    <w:p w:rsidR="0074555F" w:rsidRDefault="0074555F" w:rsidP="002B625D">
      <w:pPr>
        <w:ind w:firstLineChars="200" w:firstLine="640"/>
        <w:rPr>
          <w:rFonts w:ascii="仿宋" w:eastAsia="仿宋" w:hAnsi="仿宋" w:hint="eastAsia"/>
          <w:sz w:val="32"/>
          <w:szCs w:val="32"/>
        </w:rPr>
      </w:pPr>
      <w:r>
        <w:rPr>
          <w:rFonts w:ascii="仿宋" w:eastAsia="仿宋" w:hAnsi="仿宋" w:hint="eastAsia"/>
          <w:sz w:val="32"/>
          <w:szCs w:val="32"/>
        </w:rPr>
        <w:t>农田地下检测委托普尼测试公司进行检测；厂界废气及厂界噪声委托黑龙江省安龙职业安全检测评价有限公司进行检测；农田土壤检测委托黑龙江八一农垦大学测试中心进行检测。</w:t>
      </w:r>
    </w:p>
    <w:p w:rsidR="0074555F" w:rsidRDefault="0074555F" w:rsidP="002B625D">
      <w:pPr>
        <w:ind w:firstLineChars="200" w:firstLine="640"/>
        <w:rPr>
          <w:rFonts w:ascii="仿宋" w:eastAsia="仿宋" w:hAnsi="仿宋" w:hint="eastAsia"/>
          <w:sz w:val="32"/>
          <w:szCs w:val="32"/>
        </w:rPr>
      </w:pPr>
      <w:r>
        <w:rPr>
          <w:rFonts w:ascii="仿宋" w:eastAsia="仿宋" w:hAnsi="仿宋" w:hint="eastAsia"/>
          <w:sz w:val="32"/>
          <w:szCs w:val="32"/>
        </w:rPr>
        <w:t>五、今后工作目标</w:t>
      </w:r>
    </w:p>
    <w:p w:rsidR="0074555F" w:rsidRPr="0074555F" w:rsidRDefault="0074555F" w:rsidP="0074555F">
      <w:pPr>
        <w:ind w:firstLineChars="200" w:firstLine="640"/>
        <w:rPr>
          <w:rFonts w:ascii="仿宋" w:eastAsia="仿宋" w:hAnsi="仿宋"/>
          <w:sz w:val="32"/>
          <w:szCs w:val="32"/>
        </w:rPr>
      </w:pPr>
      <w:r>
        <w:rPr>
          <w:rFonts w:ascii="仿宋" w:eastAsia="仿宋" w:hAnsi="仿宋" w:hint="eastAsia"/>
          <w:sz w:val="32"/>
          <w:szCs w:val="32"/>
        </w:rPr>
        <w:t>今后公司在执行《国家重点监控企业自行监测及信息公开办法（试行）》规定要求，并在环保局的指导下，加强公司的环保工作，加大投入，严格管理，及时报告各项监测数据和信息公示，配合环保部门做好公司相关环境保护与节能减排工作。</w:t>
      </w:r>
    </w:p>
    <w:sectPr w:rsidR="0074555F" w:rsidRPr="007455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3CE" w:rsidRDefault="00BC63CE" w:rsidP="002B625D">
      <w:r>
        <w:separator/>
      </w:r>
    </w:p>
  </w:endnote>
  <w:endnote w:type="continuationSeparator" w:id="1">
    <w:p w:rsidR="00BC63CE" w:rsidRDefault="00BC63CE" w:rsidP="002B6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3CE" w:rsidRDefault="00BC63CE" w:rsidP="002B625D">
      <w:r>
        <w:separator/>
      </w:r>
    </w:p>
  </w:footnote>
  <w:footnote w:type="continuationSeparator" w:id="1">
    <w:p w:rsidR="00BC63CE" w:rsidRDefault="00BC63CE" w:rsidP="002B6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A2D01"/>
    <w:multiLevelType w:val="hybridMultilevel"/>
    <w:tmpl w:val="10586BBA"/>
    <w:lvl w:ilvl="0" w:tplc="C1BE46F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625D"/>
    <w:rsid w:val="002B625D"/>
    <w:rsid w:val="0074555F"/>
    <w:rsid w:val="00BC63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62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625D"/>
    <w:rPr>
      <w:sz w:val="18"/>
      <w:szCs w:val="18"/>
    </w:rPr>
  </w:style>
  <w:style w:type="paragraph" w:styleId="a4">
    <w:name w:val="footer"/>
    <w:basedOn w:val="a"/>
    <w:link w:val="Char0"/>
    <w:uiPriority w:val="99"/>
    <w:semiHidden/>
    <w:unhideWhenUsed/>
    <w:rsid w:val="002B62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625D"/>
    <w:rPr>
      <w:sz w:val="18"/>
      <w:szCs w:val="18"/>
    </w:rPr>
  </w:style>
  <w:style w:type="paragraph" w:styleId="a5">
    <w:name w:val="List Paragraph"/>
    <w:basedOn w:val="a"/>
    <w:uiPriority w:val="34"/>
    <w:qFormat/>
    <w:rsid w:val="002B625D"/>
    <w:pPr>
      <w:ind w:firstLineChars="200" w:firstLine="420"/>
    </w:pPr>
  </w:style>
  <w:style w:type="table" w:styleId="a6">
    <w:name w:val="Table Grid"/>
    <w:basedOn w:val="a1"/>
    <w:uiPriority w:val="59"/>
    <w:rsid w:val="002B62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106</Words>
  <Characters>610</Characters>
  <Application>Microsoft Office Word</Application>
  <DocSecurity>0</DocSecurity>
  <Lines>5</Lines>
  <Paragraphs>1</Paragraphs>
  <ScaleCrop>false</ScaleCrop>
  <Company>Microsoft</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2018-11-22T01:43:00Z</dcterms:created>
  <dcterms:modified xsi:type="dcterms:W3CDTF">2018-11-22T01:59:00Z</dcterms:modified>
</cp:coreProperties>
</file>