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七台河市隆鹏煤炭发展有限责任公司</w:t>
      </w:r>
      <w:r>
        <w:rPr>
          <w:rFonts w:hint="eastAsia"/>
          <w:b/>
          <w:sz w:val="36"/>
          <w:szCs w:val="36"/>
        </w:rPr>
        <w:t>自行监测方案</w:t>
      </w:r>
    </w:p>
    <w:tbl>
      <w:tblPr>
        <w:tblStyle w:val="4"/>
        <w:tblpPr w:leftFromText="180" w:rightFromText="180" w:vertAnchor="text" w:horzAnchor="page" w:tblpX="1699" w:tblpY="648"/>
        <w:tblOverlap w:val="never"/>
        <w:tblW w:w="10260" w:type="dxa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96"/>
        <w:gridCol w:w="7964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</w:trPr>
        <w:tc>
          <w:tcPr>
            <w:tcW w:w="2296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1.法定代表人</w:t>
            </w:r>
          </w:p>
        </w:tc>
        <w:tc>
          <w:tcPr>
            <w:tcW w:w="796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bottom"/>
          </w:tcPr>
          <w:p>
            <w:pPr>
              <w:pStyle w:val="2"/>
              <w:snapToGrid w:val="0"/>
              <w:spacing w:line="360" w:lineRule="auto"/>
              <w:jc w:val="both"/>
              <w:rPr>
                <w:kern w:val="2"/>
                <w:sz w:val="24"/>
                <w:szCs w:val="24"/>
                <w:lang w:val="en-US"/>
              </w:rPr>
            </w:pPr>
            <w:r>
              <w:rPr>
                <w:rFonts w:hint="eastAsia"/>
                <w:kern w:val="2"/>
                <w:sz w:val="24"/>
                <w:szCs w:val="24"/>
                <w:lang w:val="en-US"/>
              </w:rPr>
              <w:t>郑亚英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</w:trPr>
        <w:tc>
          <w:tcPr>
            <w:tcW w:w="2296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2.曾用名</w:t>
            </w:r>
          </w:p>
        </w:tc>
        <w:tc>
          <w:tcPr>
            <w:tcW w:w="796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bottom"/>
          </w:tcPr>
          <w:p>
            <w:pPr>
              <w:pStyle w:val="2"/>
              <w:snapToGrid w:val="0"/>
              <w:spacing w:line="360" w:lineRule="auto"/>
              <w:jc w:val="both"/>
              <w:rPr>
                <w:rFonts w:hint="eastAsia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96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.组织机构代码</w:t>
            </w:r>
          </w:p>
        </w:tc>
        <w:tc>
          <w:tcPr>
            <w:tcW w:w="796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bottom"/>
          </w:tcPr>
          <w:p>
            <w:pPr>
              <w:pStyle w:val="2"/>
              <w:snapToGrid w:val="0"/>
              <w:spacing w:line="360" w:lineRule="auto"/>
              <w:jc w:val="both"/>
              <w:rPr>
                <w:rFonts w:hint="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96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/>
                <w:sz w:val="24"/>
                <w:szCs w:val="24"/>
              </w:rPr>
              <w:t>社会信用代码</w:t>
            </w:r>
          </w:p>
        </w:tc>
        <w:tc>
          <w:tcPr>
            <w:tcW w:w="796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bottom"/>
          </w:tcPr>
          <w:p>
            <w:pPr>
              <w:pStyle w:val="2"/>
              <w:snapToGrid w:val="0"/>
              <w:spacing w:line="360" w:lineRule="auto"/>
              <w:jc w:val="both"/>
              <w:rPr>
                <w:rFonts w:hint="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/>
              </w:rPr>
              <w:t>912309007418470303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96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5.方案审核地址</w:t>
            </w:r>
          </w:p>
        </w:tc>
        <w:tc>
          <w:tcPr>
            <w:tcW w:w="796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bottom"/>
          </w:tcPr>
          <w:p>
            <w:pPr>
              <w:pStyle w:val="2"/>
              <w:snapToGrid w:val="0"/>
              <w:spacing w:line="360" w:lineRule="auto"/>
              <w:ind w:firstLine="240" w:firstLineChars="100"/>
              <w:jc w:val="both"/>
              <w:rPr>
                <w:rFonts w:hint="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u w:val="none"/>
                <w:shd w:val="clear" w:color="auto" w:fill="FFFFFF"/>
              </w:rPr>
              <w:t>黑龙江省七台河市新兴区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96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  <w:szCs w:val="24"/>
              </w:rPr>
              <w:t>.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eastAsia" w:ascii="宋体" w:hAnsi="宋体"/>
                <w:sz w:val="24"/>
                <w:szCs w:val="24"/>
              </w:rPr>
              <w:t>详细地址</w:t>
            </w:r>
          </w:p>
        </w:tc>
        <w:tc>
          <w:tcPr>
            <w:tcW w:w="796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u w:val="none"/>
                <w:shd w:val="clear" w:color="auto" w:fill="FFFFFF"/>
              </w:rPr>
              <w:t>黑龙江省七台河市新兴区红旗镇红鲜村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96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  <w:szCs w:val="24"/>
              </w:rPr>
              <w:t>.企业地理位置</w:t>
            </w:r>
          </w:p>
        </w:tc>
        <w:tc>
          <w:tcPr>
            <w:tcW w:w="796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中心经度/中心纬度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shd w:val="clear" w:color="auto" w:fill="FFFFFF"/>
                <w:lang w:val="en-US" w:eastAsia="zh-CN"/>
              </w:rPr>
              <w:t xml:space="preserve">  130°52′57.83″   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shd w:val="clear" w:color="auto" w:fill="FFFFFF"/>
                <w:lang w:val="en-US" w:eastAsia="zh-CN"/>
              </w:rPr>
              <w:t xml:space="preserve"> 45°49′47.78″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96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  <w:szCs w:val="24"/>
              </w:rPr>
              <w:t>.联系方式</w:t>
            </w:r>
          </w:p>
        </w:tc>
        <w:tc>
          <w:tcPr>
            <w:tcW w:w="796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电话号码： </w:t>
            </w:r>
            <w:r>
              <w:rPr>
                <w:rFonts w:hint="eastAsia" w:ascii="宋体" w:hAnsi="宋体"/>
                <w:sz w:val="24"/>
                <w:szCs w:val="24"/>
                <w:u w:val="single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u w:val="single"/>
                <w:shd w:val="clear" w:color="auto" w:fill="FFFFFF"/>
                <w:lang w:val="en-US" w:eastAsia="zh-CN"/>
              </w:rPr>
              <w:t>0464-</w:t>
            </w:r>
            <w:r>
              <w:rPr>
                <w:rFonts w:hint="eastAsia" w:ascii="宋体" w:hAnsi="宋体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  <w:shd w:val="clear" w:color="auto" w:fill="FFFFFF"/>
                <w:lang w:val="en-US" w:eastAsia="zh-CN"/>
              </w:rPr>
              <w:t xml:space="preserve">8372555 </w:t>
            </w:r>
            <w:r>
              <w:rPr>
                <w:rFonts w:hint="eastAsia" w:ascii="宋体" w:hAnsi="宋体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联系人：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  <w:shd w:val="clear" w:color="auto" w:fill="FFFFFF"/>
                <w:lang w:val="en-US" w:eastAsia="zh-CN"/>
              </w:rPr>
              <w:t xml:space="preserve"> 杨光</w:t>
            </w:r>
          </w:p>
          <w:p>
            <w:pPr>
              <w:pStyle w:val="2"/>
              <w:snapToGrid w:val="0"/>
              <w:spacing w:line="360" w:lineRule="auto"/>
              <w:jc w:val="both"/>
              <w:rPr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hAnsi="宋体"/>
                <w:kern w:val="2"/>
                <w:sz w:val="24"/>
                <w:szCs w:val="24"/>
                <w:lang w:val="en-US"/>
              </w:rPr>
              <w:t>传真号码：</w:t>
            </w:r>
            <w:r>
              <w:rPr>
                <w:rFonts w:hint="eastAsia"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hAnsi="宋体"/>
                <w:sz w:val="24"/>
                <w:szCs w:val="24"/>
                <w:u w:val="singl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u w:val="singl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hAnsi="宋体"/>
                <w:sz w:val="24"/>
                <w:szCs w:val="24"/>
                <w:u w:val="singl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hAnsi="宋体"/>
                <w:kern w:val="2"/>
                <w:sz w:val="24"/>
                <w:szCs w:val="24"/>
                <w:lang w:val="en-US"/>
              </w:rPr>
              <w:t>邮政编码：</w:t>
            </w:r>
            <w:r>
              <w:rPr>
                <w:rFonts w:hint="eastAsia" w:ascii="宋体" w:hAnsi="宋体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u w:val="single"/>
                <w:shd w:val="clear" w:color="auto" w:fill="FFFFFF"/>
                <w:lang w:val="en-US" w:eastAsia="zh-CN"/>
              </w:rPr>
              <w:t>154600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96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  <w:szCs w:val="24"/>
              </w:rPr>
              <w:t>.登记注册类型</w:t>
            </w:r>
          </w:p>
        </w:tc>
        <w:tc>
          <w:tcPr>
            <w:tcW w:w="796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ind w:firstLine="480" w:firstLineChars="200"/>
              <w:jc w:val="both"/>
              <w:rPr>
                <w:rFonts w:hint="eastAsia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/>
              </w:rPr>
              <w:t>有限责任公司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96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4"/>
                <w:szCs w:val="24"/>
              </w:rPr>
              <w:t>.企业规模</w:t>
            </w:r>
          </w:p>
        </w:tc>
        <w:tc>
          <w:tcPr>
            <w:tcW w:w="796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jc w:val="both"/>
              <w:rPr>
                <w:kern w:val="2"/>
                <w:sz w:val="24"/>
                <w:szCs w:val="24"/>
                <w:lang w:val="en-US"/>
              </w:rPr>
            </w:pPr>
            <w:r>
              <w:rPr>
                <w:rFonts w:hint="eastAsia"/>
                <w:kern w:val="2"/>
                <w:sz w:val="24"/>
                <w:szCs w:val="24"/>
                <w:lang w:val="en-US"/>
              </w:rPr>
              <w:t xml:space="preserve">1 大型 </w:t>
            </w:r>
            <w:r>
              <w:rPr>
                <w:rFonts w:hint="eastAsia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kern w:val="2"/>
                <w:sz w:val="24"/>
                <w:szCs w:val="24"/>
                <w:lang w:val="en-US"/>
              </w:rPr>
              <w:t xml:space="preserve">2 中型 </w:t>
            </w:r>
            <w:r>
              <w:rPr>
                <w:rFonts w:hint="eastAsia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kern w:val="2"/>
                <w:sz w:val="24"/>
                <w:szCs w:val="24"/>
                <w:lang w:val="en-US"/>
              </w:rPr>
              <w:t xml:space="preserve">3 小型 </w:t>
            </w:r>
            <w:r>
              <w:rPr>
                <w:rFonts w:hint="eastAsia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kern w:val="2"/>
                <w:sz w:val="24"/>
                <w:szCs w:val="24"/>
                <w:lang w:val="en-US"/>
              </w:rPr>
              <w:t>4 微型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96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11.企业类别</w:t>
            </w:r>
          </w:p>
        </w:tc>
        <w:tc>
          <w:tcPr>
            <w:tcW w:w="796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jc w:val="both"/>
              <w:rPr>
                <w:rFonts w:hint="eastAsia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/>
              </w:rPr>
              <w:t>工业企业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96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/>
                <w:sz w:val="24"/>
                <w:szCs w:val="24"/>
              </w:rPr>
              <w:t>.行业类别</w:t>
            </w:r>
          </w:p>
        </w:tc>
        <w:tc>
          <w:tcPr>
            <w:tcW w:w="796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行业名称：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  <w:shd w:val="clear" w:color="auto" w:fill="FFFFFF"/>
                <w:lang w:val="en-US" w:eastAsia="zh-CN"/>
              </w:rPr>
              <w:t>炼焦</w:t>
            </w:r>
            <w:r>
              <w:rPr>
                <w:rFonts w:hint="eastAsia" w:ascii="宋体" w:hAnsi="宋体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行业代码：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  <w:shd w:val="clear" w:color="auto" w:fill="FFFFFF"/>
                <w:lang w:val="en-US" w:eastAsia="zh-CN"/>
              </w:rPr>
              <w:t xml:space="preserve"> 2521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</w:trPr>
        <w:tc>
          <w:tcPr>
            <w:tcW w:w="2296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/>
                <w:sz w:val="24"/>
                <w:szCs w:val="24"/>
              </w:rPr>
              <w:t>.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建成投产</w:t>
            </w: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796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ind w:firstLine="480" w:firstLineChars="200"/>
              <w:jc w:val="both"/>
              <w:rPr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96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24"/>
                <w:szCs w:val="24"/>
              </w:rPr>
              <w:t>.所在流域</w:t>
            </w:r>
          </w:p>
        </w:tc>
        <w:tc>
          <w:tcPr>
            <w:tcW w:w="796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流域名称：</w:t>
            </w:r>
            <w:r>
              <w:rPr>
                <w:rFonts w:hint="eastAsia" w:ascii="宋体" w:hAnsi="宋体"/>
                <w:sz w:val="24"/>
                <w:szCs w:val="24"/>
                <w:u w:val="single"/>
                <w:shd w:val="clear" w:color="auto" w:fill="FFFFFF"/>
                <w:lang w:val="en-US" w:eastAsia="zh-CN"/>
              </w:rPr>
              <w:t xml:space="preserve">  松花江流域  </w:t>
            </w:r>
            <w:r>
              <w:rPr>
                <w:rFonts w:hint="eastAsia" w:hAnsi="宋体"/>
                <w:sz w:val="24"/>
                <w:szCs w:val="24"/>
              </w:rPr>
              <w:t>流域代码：</w:t>
            </w:r>
            <w:r>
              <w:rPr>
                <w:rFonts w:hint="eastAsia" w:ascii="宋体" w:hAnsi="宋体"/>
                <w:sz w:val="24"/>
                <w:szCs w:val="24"/>
                <w:u w:val="single"/>
                <w:shd w:val="clear" w:color="auto" w:fill="FFFFFF"/>
                <w:lang w:val="en-US" w:eastAsia="zh-CN"/>
              </w:rPr>
              <w:t xml:space="preserve"> AD-AF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96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/>
                <w:sz w:val="24"/>
                <w:szCs w:val="24"/>
              </w:rPr>
              <w:t>.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所在海域</w:t>
            </w:r>
          </w:p>
        </w:tc>
        <w:tc>
          <w:tcPr>
            <w:tcW w:w="796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jc w:val="both"/>
              <w:rPr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Calibri" w:hAnsi="宋体" w:eastAsia="宋体" w:cs="Times New Roman"/>
                <w:kern w:val="2"/>
                <w:sz w:val="24"/>
                <w:szCs w:val="24"/>
                <w:lang w:val="en-US" w:eastAsia="zh-CN"/>
              </w:rPr>
              <w:t>海域名称：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u w:val="singl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hAnsi="宋体" w:eastAsia="宋体" w:cs="Times New Roman"/>
                <w:kern w:val="2"/>
                <w:sz w:val="24"/>
                <w:szCs w:val="24"/>
                <w:u w:val="singl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u w:val="single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hAnsi="Courier New"/>
                <w:kern w:val="2"/>
                <w:sz w:val="24"/>
                <w:szCs w:val="24"/>
                <w:lang w:val="en-US" w:eastAsia="zh-CN"/>
              </w:rPr>
              <w:t>海域</w:t>
            </w:r>
            <w:r>
              <w:rPr>
                <w:rFonts w:hint="eastAsia" w:hAnsi="Courier New"/>
                <w:kern w:val="2"/>
                <w:sz w:val="24"/>
                <w:szCs w:val="24"/>
                <w:lang w:val="en-US"/>
              </w:rPr>
              <w:t>代码：</w:t>
            </w:r>
          </w:p>
        </w:tc>
      </w:tr>
    </w:tbl>
    <w:p>
      <w:pPr>
        <w:rPr>
          <w:rFonts w:hint="eastAsia" w:ascii="Calibri" w:hAnsi="Calibri" w:eastAsia="宋体" w:cs="Times New Roman"/>
          <w:b/>
          <w:kern w:val="2"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</w:rPr>
        <w:t>一、企业基本情况</w:t>
      </w:r>
    </w:p>
    <w:p/>
    <w:p/>
    <w:p/>
    <w:p/>
    <w:p/>
    <w:p/>
    <w:p/>
    <w:p/>
    <w:p/>
    <w:p/>
    <w:p/>
    <w:p/>
    <w:p/>
    <w:p/>
    <w:p/>
    <w:p/>
    <w:p>
      <w:pPr>
        <w:keepNext w:val="0"/>
        <w:keepLines w:val="0"/>
        <w:pageBreakBefore w:val="0"/>
        <w:widowControl w:val="0"/>
        <w:suppressLineNumber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83" w:firstLineChars="200"/>
        <w:jc w:val="center"/>
        <w:textAlignment w:val="auto"/>
        <w:outlineLvl w:val="2"/>
        <w:rPr>
          <w:rFonts w:hint="eastAsia" w:ascii="宋体" w:hAnsi="宋体" w:eastAsia="宋体" w:cs="宋体"/>
          <w:b/>
          <w:color w:val="000000"/>
          <w:sz w:val="44"/>
          <w:szCs w:val="44"/>
        </w:rPr>
      </w:pPr>
      <w:bookmarkStart w:id="0" w:name="_Toc453085172"/>
      <w:bookmarkStart w:id="1" w:name="_Toc453588923"/>
    </w:p>
    <w:p>
      <w:pPr>
        <w:keepNext w:val="0"/>
        <w:keepLines w:val="0"/>
        <w:pageBreakBefore w:val="0"/>
        <w:widowControl w:val="0"/>
        <w:suppressLineNumber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83" w:firstLineChars="200"/>
        <w:jc w:val="center"/>
        <w:textAlignment w:val="auto"/>
        <w:outlineLvl w:val="2"/>
        <w:rPr>
          <w:rFonts w:hint="eastAsia" w:ascii="宋体" w:hAnsi="宋体" w:eastAsia="宋体" w:cs="宋体"/>
          <w:b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uppressLineNumber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83" w:firstLineChars="200"/>
        <w:jc w:val="center"/>
        <w:textAlignment w:val="auto"/>
        <w:outlineLvl w:val="2"/>
        <w:rPr>
          <w:rFonts w:hint="eastAsia" w:ascii="宋体" w:hAnsi="宋体" w:eastAsia="宋体" w:cs="宋体"/>
          <w:b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uppressLineNumber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83" w:firstLineChars="200"/>
        <w:jc w:val="center"/>
        <w:textAlignment w:val="auto"/>
        <w:outlineLvl w:val="2"/>
        <w:rPr>
          <w:rFonts w:hint="eastAsia" w:ascii="宋体" w:hAnsi="宋体" w:eastAsia="宋体" w:cs="宋体"/>
          <w:b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uppressLineNumber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83" w:firstLineChars="200"/>
        <w:jc w:val="center"/>
        <w:textAlignment w:val="auto"/>
        <w:outlineLvl w:val="2"/>
        <w:rPr>
          <w:rFonts w:hint="eastAsia" w:ascii="宋体" w:hAnsi="宋体" w:eastAsia="宋体" w:cs="宋体"/>
          <w:b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44"/>
          <w:szCs w:val="44"/>
        </w:rPr>
        <w:t>自行监测</w:t>
      </w:r>
      <w:bookmarkEnd w:id="0"/>
      <w:bookmarkEnd w:id="1"/>
      <w:r>
        <w:rPr>
          <w:rFonts w:hint="eastAsia" w:ascii="宋体" w:hAnsi="宋体" w:eastAsia="宋体" w:cs="宋体"/>
          <w:b/>
          <w:color w:val="000000"/>
          <w:sz w:val="44"/>
          <w:szCs w:val="44"/>
          <w:lang w:eastAsia="zh-CN"/>
        </w:rPr>
        <w:t>方案</w:t>
      </w:r>
    </w:p>
    <w:tbl>
      <w:tblPr>
        <w:tblStyle w:val="4"/>
        <w:tblW w:w="15089" w:type="dxa"/>
        <w:jc w:val="center"/>
        <w:tblInd w:w="-34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718"/>
        <w:gridCol w:w="1127"/>
        <w:gridCol w:w="825"/>
        <w:gridCol w:w="1230"/>
        <w:gridCol w:w="990"/>
        <w:gridCol w:w="1905"/>
        <w:gridCol w:w="1140"/>
        <w:gridCol w:w="915"/>
        <w:gridCol w:w="1380"/>
        <w:gridCol w:w="1080"/>
        <w:gridCol w:w="2145"/>
        <w:gridCol w:w="9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tblHeader/>
          <w:jc w:val="center"/>
        </w:trPr>
        <w:tc>
          <w:tcPr>
            <w:tcW w:w="6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序号</w:t>
            </w:r>
          </w:p>
        </w:tc>
        <w:tc>
          <w:tcPr>
            <w:tcW w:w="7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污染源类别</w:t>
            </w:r>
          </w:p>
        </w:tc>
        <w:tc>
          <w:tcPr>
            <w:tcW w:w="1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ascii="黑体" w:hAnsi="黑体" w:eastAsia="黑体"/>
              </w:rPr>
              <w:t>排放口</w:t>
            </w:r>
            <w:r>
              <w:rPr>
                <w:rFonts w:hint="eastAsia" w:ascii="黑体" w:hAnsi="黑体" w:eastAsia="黑体"/>
                <w:lang w:eastAsia="zh-CN"/>
              </w:rPr>
              <w:t>设备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lang w:eastAsia="zh-CN"/>
              </w:rPr>
              <w:t>监测点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lang w:eastAsia="zh-CN"/>
              </w:rPr>
            </w:pPr>
            <w:r>
              <w:rPr>
                <w:rFonts w:hint="eastAsia" w:ascii="黑体" w:hAnsi="黑体" w:eastAsia="黑体"/>
                <w:lang w:eastAsia="zh-CN"/>
              </w:rPr>
              <w:t>监测项目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lang w:eastAsia="zh-CN"/>
              </w:rPr>
              <w:t>依据类型</w:t>
            </w: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lang w:eastAsia="zh-CN"/>
              </w:rPr>
            </w:pPr>
            <w:r>
              <w:rPr>
                <w:rFonts w:hint="eastAsia" w:ascii="黑体" w:hAnsi="黑体" w:eastAsia="黑体"/>
                <w:lang w:eastAsia="zh-CN"/>
              </w:rPr>
              <w:t>标准名称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lang w:eastAsia="zh-CN"/>
              </w:rPr>
            </w:pPr>
            <w:r>
              <w:rPr>
                <w:rFonts w:hint="eastAsia" w:ascii="黑体" w:hAnsi="黑体" w:eastAsia="黑体"/>
                <w:lang w:eastAsia="zh-CN"/>
              </w:rPr>
              <w:t>限值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lang w:eastAsia="zh-CN"/>
              </w:rPr>
            </w:pPr>
            <w:r>
              <w:rPr>
                <w:rFonts w:hint="eastAsia" w:ascii="黑体" w:hAnsi="黑体" w:eastAsia="黑体"/>
                <w:lang w:eastAsia="zh-CN"/>
              </w:rPr>
              <w:t>监测方式</w:t>
            </w: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highlight w:val="yellow"/>
                <w:lang w:eastAsia="zh-CN"/>
              </w:rPr>
            </w:pPr>
            <w:r>
              <w:rPr>
                <w:rFonts w:hint="eastAsia" w:ascii="黑体" w:hAnsi="黑体" w:eastAsia="黑体"/>
                <w:lang w:eastAsia="zh-CN"/>
              </w:rPr>
              <w:t>监测频次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lang w:eastAsia="zh-CN"/>
              </w:rPr>
            </w:pPr>
            <w:r>
              <w:rPr>
                <w:rFonts w:ascii="黑体" w:hAnsi="黑体" w:eastAsia="黑体"/>
              </w:rPr>
              <w:t>监测</w:t>
            </w:r>
            <w:r>
              <w:rPr>
                <w:rFonts w:hint="eastAsia" w:ascii="黑体" w:hAnsi="黑体" w:eastAsia="黑体"/>
                <w:lang w:eastAsia="zh-CN"/>
              </w:rPr>
              <w:t>设备</w:t>
            </w:r>
          </w:p>
        </w:tc>
        <w:tc>
          <w:tcPr>
            <w:tcW w:w="21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b w:val="0"/>
                <w:bCs w:val="0"/>
              </w:rPr>
              <w:t>手工</w:t>
            </w:r>
            <w:r>
              <w:rPr>
                <w:rFonts w:hint="eastAsia" w:ascii="黑体" w:hAnsi="黑体" w:eastAsia="黑体"/>
              </w:rPr>
              <w:t>测定</w:t>
            </w:r>
            <w:r>
              <w:rPr>
                <w:rFonts w:ascii="黑体" w:hAnsi="黑体" w:eastAsia="黑体"/>
              </w:rPr>
              <w:t>方法</w:t>
            </w:r>
          </w:p>
        </w:tc>
        <w:tc>
          <w:tcPr>
            <w:tcW w:w="9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其他信息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15089" w:type="dxa"/>
            <w:gridSpan w:val="13"/>
            <w:vAlign w:val="center"/>
          </w:tcPr>
          <w:tbl>
            <w:tblPr>
              <w:tblStyle w:val="4"/>
              <w:tblW w:w="15061" w:type="dxa"/>
              <w:tblInd w:w="0" w:type="dxa"/>
              <w:tblBorders>
                <w:top w:val="none" w:color="FF0000" w:sz="0" w:space="0"/>
                <w:left w:val="none" w:color="FF0000" w:sz="0" w:space="0"/>
                <w:bottom w:val="none" w:color="FF0000" w:sz="0" w:space="0"/>
                <w:right w:val="none" w:color="FF0000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50"/>
              <w:gridCol w:w="717"/>
              <w:gridCol w:w="1124"/>
              <w:gridCol w:w="825"/>
              <w:gridCol w:w="1230"/>
              <w:gridCol w:w="990"/>
              <w:gridCol w:w="1905"/>
              <w:gridCol w:w="1140"/>
              <w:gridCol w:w="915"/>
              <w:gridCol w:w="1380"/>
              <w:gridCol w:w="1110"/>
              <w:gridCol w:w="2145"/>
              <w:gridCol w:w="930"/>
            </w:tblGrid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42" w:hRule="atLeast"/>
              </w:trPr>
              <w:tc>
                <w:tcPr>
                  <w:tcW w:w="65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1</w:t>
                  </w:r>
                </w:p>
              </w:tc>
              <w:tc>
                <w:tcPr>
                  <w:tcW w:w="717" w:type="dxa"/>
                  <w:vMerge w:val="restart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废气</w:t>
                  </w:r>
                </w:p>
              </w:tc>
              <w:tc>
                <w:tcPr>
                  <w:tcW w:w="1124" w:type="dxa"/>
                  <w:vMerge w:val="restart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常规机焦炉</w:t>
                  </w:r>
                </w:p>
              </w:tc>
              <w:tc>
                <w:tcPr>
                  <w:tcW w:w="82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DA001</w:t>
                  </w:r>
                </w:p>
              </w:tc>
              <w:tc>
                <w:tcPr>
                  <w:tcW w:w="123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99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排污许可证</w:t>
                  </w:r>
                </w:p>
              </w:tc>
              <w:tc>
                <w:tcPr>
                  <w:tcW w:w="190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炼焦化学工业污染物排放标准GB16171-2012</w:t>
                  </w:r>
                </w:p>
              </w:tc>
              <w:tc>
                <w:tcPr>
                  <w:tcW w:w="114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  <w:t>3</w:t>
                  </w: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0mg/Nm</w:t>
                  </w:r>
                  <w:r>
                    <w:rPr>
                      <w:rFonts w:ascii="宋体" w:hAnsi="宋体" w:eastAsia="宋体" w:cs="宋体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91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138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1次/年</w:t>
                  </w:r>
                </w:p>
              </w:tc>
              <w:tc>
                <w:tcPr>
                  <w:tcW w:w="111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214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固定污染源排气中颗粒物测定与气态污染物采样方法 GB/T 16157-1996</w:t>
                  </w:r>
                </w:p>
              </w:tc>
              <w:tc>
                <w:tcPr>
                  <w:tcW w:w="930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both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27" w:hRule="atLeast"/>
              </w:trPr>
              <w:tc>
                <w:tcPr>
                  <w:tcW w:w="65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717" w:type="dxa"/>
                  <w:vMerge w:val="continue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124" w:type="dxa"/>
                  <w:vMerge w:val="continue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825" w:type="dxa"/>
                  <w:vMerge w:val="restart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DA002</w:t>
                  </w:r>
                </w:p>
              </w:tc>
              <w:tc>
                <w:tcPr>
                  <w:tcW w:w="123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二氧化硫</w:t>
                  </w:r>
                </w:p>
              </w:tc>
              <w:tc>
                <w:tcPr>
                  <w:tcW w:w="99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排污许</w:t>
                  </w:r>
                </w:p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可证</w:t>
                  </w:r>
                </w:p>
              </w:tc>
              <w:tc>
                <w:tcPr>
                  <w:tcW w:w="190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both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炼焦化学工业污染物排放标准GB16171-2012</w:t>
                  </w:r>
                </w:p>
              </w:tc>
              <w:tc>
                <w:tcPr>
                  <w:tcW w:w="114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50mg/Nm</w:t>
                  </w:r>
                  <w:r>
                    <w:rPr>
                      <w:rFonts w:ascii="宋体" w:hAnsi="宋体" w:eastAsia="宋体" w:cs="宋体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91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 w:eastAsia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自动</w:t>
                  </w:r>
                </w:p>
              </w:tc>
              <w:tc>
                <w:tcPr>
                  <w:tcW w:w="138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1次/6小时</w:t>
                  </w:r>
                </w:p>
              </w:tc>
              <w:tc>
                <w:tcPr>
                  <w:tcW w:w="111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YX-CEMS</w:t>
                  </w:r>
                </w:p>
              </w:tc>
              <w:tc>
                <w:tcPr>
                  <w:tcW w:w="214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固定污染源排气中二氧化硫的测定 碘量法 HJ/T 56-2000</w:t>
                  </w:r>
                </w:p>
              </w:tc>
              <w:tc>
                <w:tcPr>
                  <w:tcW w:w="930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both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2</w:t>
                  </w:r>
                </w:p>
              </w:tc>
              <w:tc>
                <w:tcPr>
                  <w:tcW w:w="717" w:type="dxa"/>
                  <w:vMerge w:val="continue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124" w:type="dxa"/>
                  <w:vMerge w:val="continue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825" w:type="dxa"/>
                  <w:vMerge w:val="continue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 w:eastAsia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99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排污许</w:t>
                  </w:r>
                </w:p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可证</w:t>
                  </w:r>
                </w:p>
              </w:tc>
              <w:tc>
                <w:tcPr>
                  <w:tcW w:w="190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炼焦化学工业污染物排放标准GB16171-2012</w:t>
                  </w:r>
                </w:p>
              </w:tc>
              <w:tc>
                <w:tcPr>
                  <w:tcW w:w="114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  <w:t>3</w:t>
                  </w: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0mg/Nm</w:t>
                  </w:r>
                  <w:r>
                    <w:rPr>
                      <w:rFonts w:ascii="宋体" w:hAnsi="宋体" w:eastAsia="宋体" w:cs="宋体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91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 w:eastAsia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自动</w:t>
                  </w:r>
                </w:p>
              </w:tc>
              <w:tc>
                <w:tcPr>
                  <w:tcW w:w="138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1次/6小时</w:t>
                  </w:r>
                </w:p>
              </w:tc>
              <w:tc>
                <w:tcPr>
                  <w:tcW w:w="111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YX-CEMS</w:t>
                  </w:r>
                </w:p>
              </w:tc>
              <w:tc>
                <w:tcPr>
                  <w:tcW w:w="214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固定污染源排气中颗粒物测定与气态污染物采样方法 GB/T 16157-1996</w:t>
                  </w:r>
                </w:p>
              </w:tc>
              <w:tc>
                <w:tcPr>
                  <w:tcW w:w="930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both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3</w:t>
                  </w:r>
                </w:p>
              </w:tc>
              <w:tc>
                <w:tcPr>
                  <w:tcW w:w="717" w:type="dxa"/>
                  <w:vMerge w:val="continue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124" w:type="dxa"/>
                  <w:vMerge w:val="continue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825" w:type="dxa"/>
                  <w:vMerge w:val="continue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氮氧化物</w:t>
                  </w:r>
                </w:p>
              </w:tc>
              <w:tc>
                <w:tcPr>
                  <w:tcW w:w="99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排污许</w:t>
                  </w:r>
                </w:p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可证</w:t>
                  </w:r>
                </w:p>
              </w:tc>
              <w:tc>
                <w:tcPr>
                  <w:tcW w:w="190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炼焦化学工业污染物排放标准GB16171-2012</w:t>
                  </w:r>
                </w:p>
              </w:tc>
              <w:tc>
                <w:tcPr>
                  <w:tcW w:w="114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50</w:t>
                  </w:r>
                  <w:r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  <w:t>0</w:t>
                  </w: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mg/Nm</w:t>
                  </w:r>
                  <w:r>
                    <w:rPr>
                      <w:rFonts w:ascii="宋体" w:hAnsi="宋体" w:eastAsia="宋体" w:cs="宋体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91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自动</w:t>
                  </w:r>
                </w:p>
              </w:tc>
              <w:tc>
                <w:tcPr>
                  <w:tcW w:w="138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1次/6小时</w:t>
                  </w:r>
                </w:p>
              </w:tc>
              <w:tc>
                <w:tcPr>
                  <w:tcW w:w="111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YX-CEMS</w:t>
                  </w:r>
                  <w:bookmarkStart w:id="3" w:name="_GoBack"/>
                  <w:bookmarkEnd w:id="3"/>
                </w:p>
              </w:tc>
              <w:tc>
                <w:tcPr>
                  <w:tcW w:w="214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固定污染源废气 氮氧化物的测定 定电位电解法HJ 693-2014</w:t>
                  </w:r>
                </w:p>
              </w:tc>
              <w:tc>
                <w:tcPr>
                  <w:tcW w:w="930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both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4</w:t>
                  </w:r>
                </w:p>
              </w:tc>
              <w:tc>
                <w:tcPr>
                  <w:tcW w:w="717" w:type="dxa"/>
                  <w:vMerge w:val="continue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124" w:type="dxa"/>
                  <w:vMerge w:val="continue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825" w:type="dxa"/>
                  <w:vMerge w:val="restart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DA003</w:t>
                  </w:r>
                </w:p>
              </w:tc>
              <w:tc>
                <w:tcPr>
                  <w:tcW w:w="123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二氧化硫</w:t>
                  </w:r>
                </w:p>
              </w:tc>
              <w:tc>
                <w:tcPr>
                  <w:tcW w:w="99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排污许</w:t>
                  </w:r>
                </w:p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可证</w:t>
                  </w:r>
                </w:p>
              </w:tc>
              <w:tc>
                <w:tcPr>
                  <w:tcW w:w="190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炼焦化学工业污染物排放标准GB16171-2012</w:t>
                  </w:r>
                </w:p>
              </w:tc>
              <w:tc>
                <w:tcPr>
                  <w:tcW w:w="114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50/100</w:t>
                  </w:r>
                </w:p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mg/Nm</w:t>
                  </w:r>
                  <w:r>
                    <w:rPr>
                      <w:rFonts w:ascii="宋体" w:hAnsi="宋体" w:eastAsia="宋体" w:cs="宋体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91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138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1次/半年</w:t>
                  </w:r>
                </w:p>
              </w:tc>
              <w:tc>
                <w:tcPr>
                  <w:tcW w:w="111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214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left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固定污染源排气中二氧化硫的测定 碘量法 HJ/T 56-2000</w:t>
                  </w:r>
                </w:p>
              </w:tc>
              <w:tc>
                <w:tcPr>
                  <w:tcW w:w="930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both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5</w:t>
                  </w:r>
                </w:p>
              </w:tc>
              <w:tc>
                <w:tcPr>
                  <w:tcW w:w="717" w:type="dxa"/>
                  <w:vMerge w:val="continue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124" w:type="dxa"/>
                  <w:vMerge w:val="continue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825" w:type="dxa"/>
                  <w:vMerge w:val="continue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99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排污许</w:t>
                  </w:r>
                </w:p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可证</w:t>
                  </w:r>
                </w:p>
              </w:tc>
              <w:tc>
                <w:tcPr>
                  <w:tcW w:w="190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炼焦化学工业污染物排放标准GB16171-2012</w:t>
                  </w:r>
                </w:p>
              </w:tc>
              <w:tc>
                <w:tcPr>
                  <w:tcW w:w="114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50mg/Nm</w:t>
                  </w:r>
                  <w:r>
                    <w:rPr>
                      <w:rFonts w:ascii="宋体" w:hAnsi="宋体" w:eastAsia="宋体" w:cs="宋体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91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138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1次/半年</w:t>
                  </w:r>
                </w:p>
              </w:tc>
              <w:tc>
                <w:tcPr>
                  <w:tcW w:w="111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214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固定污染源排气中颗粒物测定与气态污染物采样方法 GB/T 16157-1996</w:t>
                  </w:r>
                </w:p>
              </w:tc>
              <w:tc>
                <w:tcPr>
                  <w:tcW w:w="930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both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6</w:t>
                  </w:r>
                </w:p>
              </w:tc>
              <w:tc>
                <w:tcPr>
                  <w:tcW w:w="717" w:type="dxa"/>
                  <w:vMerge w:val="restart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both"/>
                    <w:rPr>
                      <w:rFonts w:hint="eastAsia" w:ascii="宋体" w:hAnsi="宋体" w:eastAsia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无组织</w:t>
                  </w:r>
                </w:p>
              </w:tc>
              <w:tc>
                <w:tcPr>
                  <w:tcW w:w="1949" w:type="dxa"/>
                  <w:gridSpan w:val="2"/>
                  <w:vMerge w:val="restart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厂界</w:t>
                  </w:r>
                </w:p>
              </w:tc>
              <w:tc>
                <w:tcPr>
                  <w:tcW w:w="123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氨</w:t>
                  </w:r>
                </w:p>
              </w:tc>
              <w:tc>
                <w:tcPr>
                  <w:tcW w:w="99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排污许</w:t>
                  </w:r>
                </w:p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可证</w:t>
                  </w:r>
                </w:p>
              </w:tc>
              <w:tc>
                <w:tcPr>
                  <w:tcW w:w="190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14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91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138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1次/季度</w:t>
                  </w:r>
                </w:p>
              </w:tc>
              <w:tc>
                <w:tcPr>
                  <w:tcW w:w="111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214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空气质量氨的测定离子选择电极法 GB/T14669-1993</w:t>
                  </w:r>
                </w:p>
              </w:tc>
              <w:tc>
                <w:tcPr>
                  <w:tcW w:w="93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both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7</w:t>
                  </w:r>
                </w:p>
              </w:tc>
              <w:tc>
                <w:tcPr>
                  <w:tcW w:w="717" w:type="dxa"/>
                  <w:vMerge w:val="continue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both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949" w:type="dxa"/>
                  <w:gridSpan w:val="2"/>
                  <w:vMerge w:val="continue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both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酚类</w:t>
                  </w:r>
                </w:p>
              </w:tc>
              <w:tc>
                <w:tcPr>
                  <w:tcW w:w="99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排污许</w:t>
                  </w:r>
                </w:p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可证</w:t>
                  </w:r>
                </w:p>
              </w:tc>
              <w:tc>
                <w:tcPr>
                  <w:tcW w:w="190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14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91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138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1次/季度</w:t>
                  </w:r>
                </w:p>
              </w:tc>
              <w:tc>
                <w:tcPr>
                  <w:tcW w:w="111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214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固定污染源排气中酚类化合物的测定 4-氨基安替比林分光光度法HJ/T32-1999</w:t>
                  </w:r>
                </w:p>
              </w:tc>
              <w:tc>
                <w:tcPr>
                  <w:tcW w:w="93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9</w:t>
                  </w:r>
                </w:p>
              </w:tc>
              <w:tc>
                <w:tcPr>
                  <w:tcW w:w="717" w:type="dxa"/>
                  <w:vMerge w:val="continue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both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949" w:type="dxa"/>
                  <w:gridSpan w:val="2"/>
                  <w:vMerge w:val="continue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both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硫化氢</w:t>
                  </w:r>
                </w:p>
              </w:tc>
              <w:tc>
                <w:tcPr>
                  <w:tcW w:w="99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排污许</w:t>
                  </w:r>
                </w:p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可证</w:t>
                  </w:r>
                </w:p>
              </w:tc>
              <w:tc>
                <w:tcPr>
                  <w:tcW w:w="190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14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91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138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1次/季度</w:t>
                  </w:r>
                </w:p>
              </w:tc>
              <w:tc>
                <w:tcPr>
                  <w:tcW w:w="111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214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ind w:right="-118" w:rightChars="-56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空气质量 硫化氢 甲硫醇甲硫醚二甲二硫的测定气相色谱法 GB/T14678-199</w:t>
                  </w:r>
                </w:p>
              </w:tc>
              <w:tc>
                <w:tcPr>
                  <w:tcW w:w="93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both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10</w:t>
                  </w:r>
                </w:p>
              </w:tc>
              <w:tc>
                <w:tcPr>
                  <w:tcW w:w="717" w:type="dxa"/>
                  <w:vMerge w:val="continue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both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949" w:type="dxa"/>
                  <w:gridSpan w:val="2"/>
                  <w:vMerge w:val="continue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both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氰化氢</w:t>
                  </w:r>
                </w:p>
              </w:tc>
              <w:tc>
                <w:tcPr>
                  <w:tcW w:w="99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排污许</w:t>
                  </w:r>
                </w:p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可证</w:t>
                  </w:r>
                </w:p>
              </w:tc>
              <w:tc>
                <w:tcPr>
                  <w:tcW w:w="190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14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91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138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1次/季度</w:t>
                  </w:r>
                </w:p>
              </w:tc>
              <w:tc>
                <w:tcPr>
                  <w:tcW w:w="111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214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固定污染源排气中氰化氢的测定 异烟酸-吡唑啉酮光度法 HJ/T 28-1999</w:t>
                  </w:r>
                </w:p>
              </w:tc>
              <w:tc>
                <w:tcPr>
                  <w:tcW w:w="93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both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</w:tbl>
          <w:p>
            <w:pPr>
              <w:adjustRightInd w:val="0"/>
              <w:snapToGrid w:val="0"/>
              <w:rPr>
                <w:rFonts w:hint="eastAsia" w:ascii="宋体" w:hAnsi="宋体"/>
              </w:rPr>
            </w:pPr>
            <w:bookmarkStart w:id="2" w:name="Monitor"/>
            <w:bookmarkEnd w:id="2"/>
          </w:p>
        </w:tc>
      </w:tr>
    </w:tbl>
    <w:p/>
    <w:sectPr>
      <w:pgSz w:w="16838" w:h="11906" w:orient="landscape"/>
      <w:pgMar w:top="1417" w:right="1440" w:bottom="1417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C465D"/>
    <w:rsid w:val="3DB32EA0"/>
    <w:rsid w:val="45343A3F"/>
    <w:rsid w:val="5F8C465D"/>
    <w:rsid w:val="616D566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240" w:lineRule="atLeast"/>
    </w:pPr>
    <w:rPr>
      <w:rFonts w:hint="default" w:ascii="宋体" w:hAnsi="Courier New" w:eastAsia="宋体" w:cs="Times New Roman"/>
      <w:kern w:val="0"/>
      <w:sz w:val="20"/>
      <w:szCs w:val="2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2018-12-04T23:59:00Z</dcterms:created>
  <dc:creator>焦糖玛奇朵爱上卡布奇诺</dc:creator>
  <cp:lastModifiedBy>焦糖玛奇朵爱上卡布奇诺</cp:lastModifiedBy>
  <dcterms:modified xsi:type="dcterms:W3CDTF">2018-12-05T02:50:12Z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