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72"/>
          <w:szCs w:val="72"/>
        </w:rPr>
      </w:pPr>
    </w:p>
    <w:p>
      <w:pPr>
        <w:rPr>
          <w:rFonts w:hint="eastAsia" w:ascii="黑体" w:eastAsia="黑体"/>
          <w:sz w:val="72"/>
          <w:szCs w:val="72"/>
        </w:rPr>
      </w:pPr>
    </w:p>
    <w:p>
      <w:pPr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黑体" w:hAnsi="宋体" w:eastAsia="黑体"/>
          <w:sz w:val="52"/>
          <w:szCs w:val="52"/>
        </w:rPr>
        <w:t>国家重点监控企业自行监测方案</w:t>
      </w:r>
    </w:p>
    <w:p>
      <w:pPr>
        <w:jc w:val="center"/>
        <w:rPr>
          <w:rFonts w:ascii="宋体"/>
          <w:sz w:val="52"/>
          <w:szCs w:val="52"/>
        </w:rPr>
      </w:pPr>
    </w:p>
    <w:p>
      <w:pPr>
        <w:jc w:val="center"/>
        <w:rPr>
          <w:rFonts w:ascii="宋体"/>
          <w:sz w:val="52"/>
          <w:szCs w:val="52"/>
        </w:rPr>
      </w:pPr>
    </w:p>
    <w:p>
      <w:pPr>
        <w:jc w:val="center"/>
        <w:rPr>
          <w:rFonts w:ascii="宋体"/>
          <w:sz w:val="52"/>
          <w:szCs w:val="52"/>
        </w:rPr>
      </w:pPr>
    </w:p>
    <w:p>
      <w:pPr>
        <w:jc w:val="center"/>
        <w:rPr>
          <w:rFonts w:hint="eastAsia" w:ascii="宋体"/>
          <w:sz w:val="52"/>
          <w:szCs w:val="52"/>
        </w:rPr>
      </w:pPr>
    </w:p>
    <w:p>
      <w:pPr>
        <w:jc w:val="center"/>
        <w:rPr>
          <w:rFonts w:hint="eastAsia" w:ascii="宋体"/>
          <w:sz w:val="52"/>
          <w:szCs w:val="52"/>
        </w:rPr>
      </w:pPr>
    </w:p>
    <w:p>
      <w:pPr>
        <w:jc w:val="center"/>
        <w:rPr>
          <w:rFonts w:hint="eastAsia" w:ascii="宋体"/>
          <w:sz w:val="52"/>
          <w:szCs w:val="52"/>
        </w:rPr>
      </w:pPr>
    </w:p>
    <w:p>
      <w:pPr>
        <w:jc w:val="center"/>
        <w:rPr>
          <w:rFonts w:hint="eastAsia" w:ascii="宋体"/>
          <w:sz w:val="52"/>
          <w:szCs w:val="52"/>
        </w:rPr>
      </w:pPr>
    </w:p>
    <w:p>
      <w:pPr>
        <w:jc w:val="center"/>
        <w:rPr>
          <w:rFonts w:hint="eastAsia" w:ascii="宋体"/>
          <w:sz w:val="52"/>
          <w:szCs w:val="52"/>
        </w:rPr>
      </w:pPr>
    </w:p>
    <w:p>
      <w:pPr>
        <w:ind w:left="718" w:leftChars="342" w:firstLine="660" w:firstLineChars="150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哈尔滨市利林环保水处理</w:t>
      </w:r>
      <w:r>
        <w:rPr>
          <w:rFonts w:ascii="宋体" w:hAnsi="宋体"/>
          <w:sz w:val="44"/>
          <w:szCs w:val="44"/>
        </w:rPr>
        <w:t>有限公司</w:t>
      </w:r>
    </w:p>
    <w:p>
      <w:pPr>
        <w:ind w:left="718" w:leftChars="342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利林污水处理厂</w:t>
      </w:r>
    </w:p>
    <w:p>
      <w:pPr>
        <w:jc w:val="center"/>
        <w:rPr>
          <w:rFonts w:ascii="宋体"/>
        </w:rPr>
      </w:pPr>
    </w:p>
    <w:p>
      <w:pPr>
        <w:jc w:val="center"/>
        <w:rPr>
          <w:rFonts w:ascii="宋体"/>
          <w:sz w:val="44"/>
          <w:szCs w:val="44"/>
        </w:rPr>
      </w:pPr>
      <w:r>
        <w:rPr>
          <w:rFonts w:ascii="宋体" w:hAnsi="宋体"/>
          <w:sz w:val="44"/>
          <w:szCs w:val="44"/>
        </w:rPr>
        <w:t>201</w:t>
      </w:r>
      <w:r>
        <w:rPr>
          <w:rFonts w:hint="eastAsia" w:ascii="宋体" w:hAnsi="宋体"/>
          <w:sz w:val="44"/>
          <w:szCs w:val="44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/>
          <w:sz w:val="44"/>
          <w:szCs w:val="44"/>
        </w:rPr>
        <w:t>年</w:t>
      </w:r>
      <w:r>
        <w:rPr>
          <w:rFonts w:ascii="宋体" w:hAnsi="宋体"/>
          <w:sz w:val="44"/>
          <w:szCs w:val="44"/>
        </w:rPr>
        <w:t xml:space="preserve"> </w:t>
      </w:r>
      <w:r>
        <w:rPr>
          <w:rFonts w:hint="eastAsia" w:ascii="宋体" w:hAnsi="宋体"/>
          <w:sz w:val="44"/>
          <w:szCs w:val="44"/>
        </w:rPr>
        <w:t>1</w:t>
      </w:r>
      <w:r>
        <w:rPr>
          <w:rFonts w:hint="eastAsia" w:ascii="宋体" w:hAnsi="宋体"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sz w:val="44"/>
          <w:szCs w:val="44"/>
        </w:rPr>
        <w:t>月</w:t>
      </w:r>
      <w:r>
        <w:rPr>
          <w:rFonts w:hint="eastAsia" w:ascii="宋体" w:hAnsi="宋体"/>
          <w:sz w:val="44"/>
          <w:szCs w:val="44"/>
          <w:lang w:val="en-US" w:eastAsia="zh-CN"/>
        </w:rPr>
        <w:t>30</w:t>
      </w:r>
      <w:r>
        <w:rPr>
          <w:rFonts w:hint="eastAsia" w:ascii="宋体" w:hAnsi="宋体"/>
          <w:sz w:val="44"/>
          <w:szCs w:val="44"/>
        </w:rPr>
        <w:t>日</w:t>
      </w:r>
    </w:p>
    <w:p>
      <w:pPr>
        <w:jc w:val="center"/>
        <w:rPr>
          <w:rFonts w:hint="eastAsia" w:ascii="黑体" w:eastAsia="黑体"/>
          <w:sz w:val="72"/>
          <w:szCs w:val="72"/>
        </w:rPr>
      </w:pPr>
    </w:p>
    <w:p>
      <w:pPr>
        <w:spacing w:line="540" w:lineRule="exact"/>
        <w:ind w:firstLine="720" w:firstLineChars="150"/>
        <w:rPr>
          <w:rFonts w:hint="eastAsia" w:ascii="宋体" w:hAnsi="宋体"/>
          <w:sz w:val="28"/>
          <w:szCs w:val="28"/>
        </w:rPr>
      </w:pPr>
      <w:r>
        <w:rPr>
          <w:rFonts w:ascii="黑体" w:eastAsia="黑体"/>
          <w:sz w:val="48"/>
          <w:szCs w:val="48"/>
        </w:rPr>
        <w:br w:type="page"/>
      </w:r>
      <w:r>
        <w:rPr>
          <w:rFonts w:hint="eastAsia" w:ascii="宋体" w:hAnsi="宋体"/>
          <w:kern w:val="0"/>
          <w:sz w:val="28"/>
          <w:szCs w:val="28"/>
        </w:rPr>
        <w:t>为自觉履行保护环境的义务，主动接受社会监督，按照《国家重点监控企业自行监测及信息公开办法》要求，</w:t>
      </w:r>
      <w:r>
        <w:rPr>
          <w:rFonts w:hint="eastAsia" w:ascii="宋体" w:hAnsi="宋体"/>
          <w:sz w:val="28"/>
          <w:szCs w:val="28"/>
        </w:rPr>
        <w:t>根据</w:t>
      </w:r>
      <w:r>
        <w:rPr>
          <w:rFonts w:hint="eastAsia" w:ascii="宋体" w:hAnsi="宋体"/>
          <w:kern w:val="0"/>
          <w:sz w:val="28"/>
          <w:szCs w:val="28"/>
        </w:rPr>
        <w:t>《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利民经济技术开发区污水处理厂（一期）工程建设项目环境影响报告表</w:t>
      </w:r>
      <w:r>
        <w:rPr>
          <w:rFonts w:hint="eastAsia" w:ascii="宋体" w:hAnsi="宋体"/>
          <w:kern w:val="0"/>
          <w:sz w:val="28"/>
          <w:szCs w:val="28"/>
        </w:rPr>
        <w:t>》（</w:t>
      </w:r>
      <w:r>
        <w:rPr>
          <w:rFonts w:hint="eastAsia" w:ascii="宋体" w:hAnsi="宋体" w:cs="宋体"/>
          <w:kern w:val="0"/>
          <w:sz w:val="28"/>
          <w:szCs w:val="28"/>
        </w:rPr>
        <w:t>国环评证甲字第170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号）及</w:t>
      </w:r>
      <w:r>
        <w:rPr>
          <w:rFonts w:ascii="宋体" w:hAnsi="宋体"/>
          <w:sz w:val="28"/>
          <w:szCs w:val="28"/>
        </w:rPr>
        <w:t>《</w:t>
      </w:r>
      <w:r>
        <w:rPr>
          <w:rFonts w:hint="eastAsia" w:ascii="宋体" w:hAnsi="宋体"/>
          <w:sz w:val="28"/>
          <w:szCs w:val="28"/>
        </w:rPr>
        <w:t>关于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利民经济技术开发区污水处理厂（一期）工程建设项目环境影响报告表</w:t>
      </w:r>
      <w:r>
        <w:rPr>
          <w:rFonts w:hint="eastAsia" w:ascii="宋体" w:hAnsi="宋体"/>
          <w:sz w:val="28"/>
          <w:szCs w:val="28"/>
        </w:rPr>
        <w:t>的批复</w:t>
      </w:r>
      <w:r>
        <w:rPr>
          <w:rFonts w:ascii="宋体" w:hAnsi="宋体"/>
          <w:sz w:val="28"/>
          <w:szCs w:val="28"/>
        </w:rPr>
        <w:t>》（</w:t>
      </w:r>
      <w:r>
        <w:rPr>
          <w:rFonts w:hint="eastAsia" w:ascii="宋体" w:hAnsi="宋体"/>
          <w:sz w:val="28"/>
          <w:szCs w:val="28"/>
        </w:rPr>
        <w:t>黑环建</w:t>
      </w:r>
      <w:r>
        <w:rPr>
          <w:rFonts w:hint="eastAsia" w:ascii="宋体" w:hAnsi="宋体"/>
          <w:sz w:val="28"/>
          <w:szCs w:val="28"/>
          <w:lang w:eastAsia="zh-CN"/>
        </w:rPr>
        <w:t>字</w:t>
      </w:r>
      <w:r>
        <w:rPr>
          <w:rFonts w:ascii="宋体" w:hAnsi="宋体"/>
          <w:sz w:val="28"/>
          <w:szCs w:val="28"/>
        </w:rPr>
        <w:t>[</w:t>
      </w:r>
      <w:r>
        <w:rPr>
          <w:rFonts w:hint="eastAsia" w:ascii="宋体" w:hAnsi="宋体"/>
          <w:sz w:val="28"/>
          <w:szCs w:val="28"/>
        </w:rPr>
        <w:t>200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]</w:t>
      </w:r>
      <w:r>
        <w:rPr>
          <w:rFonts w:hint="eastAsia" w:ascii="宋体" w:hAnsi="宋体"/>
          <w:sz w:val="28"/>
          <w:szCs w:val="28"/>
          <w:lang w:val="en-US" w:eastAsia="zh-CN"/>
        </w:rPr>
        <w:t>57</w:t>
      </w:r>
      <w:r>
        <w:rPr>
          <w:rFonts w:ascii="宋体" w:hAnsi="宋体"/>
          <w:sz w:val="28"/>
          <w:szCs w:val="28"/>
        </w:rPr>
        <w:t>号）</w:t>
      </w:r>
      <w:r>
        <w:rPr>
          <w:rFonts w:hint="eastAsia" w:ascii="宋体" w:hAnsi="宋体"/>
          <w:kern w:val="0"/>
          <w:sz w:val="28"/>
          <w:szCs w:val="28"/>
        </w:rPr>
        <w:t>、国家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和</w:t>
      </w:r>
      <w:r>
        <w:rPr>
          <w:rFonts w:hint="eastAsia" w:ascii="宋体" w:hAnsi="宋体"/>
          <w:kern w:val="0"/>
          <w:sz w:val="28"/>
          <w:szCs w:val="28"/>
        </w:rPr>
        <w:t>地方污染物排放标准、环境监测技术规范等要求，结合</w:t>
      </w:r>
      <w:r>
        <w:rPr>
          <w:rFonts w:hint="eastAsia" w:ascii="宋体" w:hAnsi="宋体"/>
          <w:sz w:val="28"/>
          <w:szCs w:val="28"/>
        </w:rPr>
        <w:t>我公司的实际生产及污染物治理情况，制定了</w:t>
      </w: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年度自行监测方案，并严格执行。</w:t>
      </w:r>
    </w:p>
    <w:p>
      <w:pPr>
        <w:spacing w:line="540" w:lineRule="exact"/>
        <w:ind w:firstLine="562" w:firstLineChars="20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一、公司概况、生产工艺、产排污情况</w:t>
      </w:r>
    </w:p>
    <w:p>
      <w:pPr>
        <w:spacing w:line="540" w:lineRule="exact"/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（一）公司概况</w:t>
      </w:r>
    </w:p>
    <w:p>
      <w:pPr>
        <w:spacing w:line="540" w:lineRule="exact"/>
        <w:ind w:firstLine="280" w:firstLine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企业名称：哈尔滨市利林环保水处理有限公司</w:t>
      </w:r>
    </w:p>
    <w:p>
      <w:pPr>
        <w:spacing w:line="540" w:lineRule="exact"/>
        <w:ind w:firstLine="280" w:firstLineChars="100"/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法人代表：</w:t>
      </w:r>
      <w:r>
        <w:rPr>
          <w:rFonts w:hint="eastAsia" w:ascii="宋体" w:hAnsi="宋体"/>
          <w:sz w:val="28"/>
          <w:szCs w:val="28"/>
          <w:lang w:eastAsia="zh-CN"/>
        </w:rPr>
        <w:t>关宪民</w:t>
      </w:r>
    </w:p>
    <w:p>
      <w:pPr>
        <w:spacing w:line="540" w:lineRule="exact"/>
        <w:ind w:firstLine="280" w:firstLineChars="1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统一社会信用代码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91230100763188398E</w:t>
      </w:r>
    </w:p>
    <w:p>
      <w:pPr>
        <w:spacing w:line="540" w:lineRule="exact"/>
        <w:ind w:firstLine="280" w:firstLineChars="1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所属行业：污水处理及再生利用；</w:t>
      </w:r>
    </w:p>
    <w:p>
      <w:pPr>
        <w:spacing w:line="540" w:lineRule="exact"/>
        <w:ind w:firstLine="280" w:firstLineChars="1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地址</w:t>
      </w:r>
      <w:r>
        <w:rPr>
          <w:rFonts w:ascii="宋体" w:hAnsi="宋体"/>
          <w:sz w:val="28"/>
          <w:szCs w:val="28"/>
        </w:rPr>
        <w:t>（附位置图）</w:t>
      </w:r>
      <w:r>
        <w:rPr>
          <w:rFonts w:hint="eastAsia" w:ascii="宋体" w:hAnsi="宋体"/>
          <w:sz w:val="28"/>
          <w:szCs w:val="28"/>
        </w:rPr>
        <w:t>：哈尔滨市利民开发区四平路一号</w:t>
      </w:r>
    </w:p>
    <w:p>
      <w:pPr>
        <w:spacing w:line="540" w:lineRule="exact"/>
        <w:ind w:firstLine="280" w:firstLineChars="1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生产周期：24小时连续运行</w:t>
      </w:r>
    </w:p>
    <w:p>
      <w:pPr>
        <w:spacing w:line="540" w:lineRule="exact"/>
        <w:ind w:firstLine="280" w:firstLineChars="1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企业自测联系人： </w:t>
      </w:r>
      <w:r>
        <w:rPr>
          <w:rFonts w:hint="eastAsia" w:ascii="宋体" w:hAnsi="宋体"/>
          <w:sz w:val="28"/>
          <w:szCs w:val="28"/>
          <w:lang w:eastAsia="zh-CN"/>
        </w:rPr>
        <w:t>王丽</w:t>
      </w:r>
    </w:p>
    <w:p>
      <w:pPr>
        <w:spacing w:line="540" w:lineRule="exact"/>
        <w:ind w:firstLine="280" w:firstLineChars="1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联系电话：0451-56885502</w:t>
      </w:r>
    </w:p>
    <w:p>
      <w:pPr>
        <w:spacing w:line="540" w:lineRule="exact"/>
        <w:ind w:firstLine="280" w:firstLineChars="10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是否委托监测机构: </w:t>
      </w:r>
      <w:r>
        <w:rPr>
          <w:rFonts w:hint="eastAsia" w:ascii="宋体" w:hAnsi="宋体"/>
          <w:sz w:val="28"/>
          <w:szCs w:val="28"/>
        </w:rPr>
        <w:t>是</w:t>
      </w:r>
    </w:p>
    <w:p>
      <w:pPr>
        <w:spacing w:line="540" w:lineRule="exact"/>
        <w:ind w:firstLine="280" w:firstLineChars="100"/>
        <w:jc w:val="lef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28"/>
          <w:szCs w:val="28"/>
        </w:rPr>
        <w:t>委托监测机构名称：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黑龙江谱尼测试科技</w:t>
      </w:r>
      <w:r>
        <w:rPr>
          <w:rFonts w:hint="eastAsia" w:ascii="宋体" w:hAnsi="宋体"/>
          <w:color w:val="000000"/>
          <w:sz w:val="30"/>
          <w:szCs w:val="30"/>
        </w:rPr>
        <w:t>有限公司</w:t>
      </w:r>
    </w:p>
    <w:p>
      <w:pPr>
        <w:spacing w:line="540" w:lineRule="exact"/>
        <w:ind w:firstLine="560" w:firstLineChars="200"/>
        <w:jc w:val="left"/>
        <w:rPr>
          <w:rFonts w:asci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</w:rPr>
        <w:t>（二）生产工艺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主要工程组成</w:t>
      </w:r>
      <w:r>
        <w:rPr>
          <w:rFonts w:hint="eastAsia" w:ascii="宋体" w:hAnsi="宋体"/>
          <w:sz w:val="28"/>
          <w:szCs w:val="28"/>
        </w:rPr>
        <w:t>：进水调节池—</w:t>
      </w:r>
      <w:r>
        <w:rPr>
          <w:rFonts w:hint="eastAsia" w:ascii="宋体" w:hAnsi="宋体"/>
          <w:sz w:val="28"/>
          <w:szCs w:val="28"/>
          <w:lang w:eastAsia="zh-CN"/>
        </w:rPr>
        <w:t>粗、细</w:t>
      </w:r>
      <w:r>
        <w:rPr>
          <w:rFonts w:hint="eastAsia" w:ascii="宋体" w:hAnsi="宋体"/>
          <w:sz w:val="28"/>
          <w:szCs w:val="28"/>
        </w:rPr>
        <w:t>格栅—</w:t>
      </w:r>
      <w:r>
        <w:rPr>
          <w:rFonts w:hint="eastAsia" w:ascii="宋体" w:hAnsi="宋体"/>
          <w:sz w:val="28"/>
          <w:szCs w:val="28"/>
          <w:lang w:val="en-US" w:eastAsia="zh-CN"/>
        </w:rPr>
        <w:t>A/O</w:t>
      </w:r>
      <w:r>
        <w:rPr>
          <w:rFonts w:hint="eastAsia" w:ascii="宋体" w:hAnsi="宋体"/>
          <w:sz w:val="28"/>
          <w:szCs w:val="28"/>
        </w:rPr>
        <w:t>生物池—</w:t>
      </w:r>
      <w:r>
        <w:rPr>
          <w:rFonts w:hint="eastAsia" w:ascii="宋体" w:hAnsi="宋体"/>
          <w:sz w:val="28"/>
          <w:szCs w:val="28"/>
          <w:lang w:eastAsia="zh-CN"/>
        </w:rPr>
        <w:t>二</w:t>
      </w:r>
      <w:r>
        <w:rPr>
          <w:rFonts w:hint="eastAsia" w:ascii="宋体" w:hAnsi="宋体"/>
          <w:sz w:val="28"/>
          <w:szCs w:val="28"/>
        </w:rPr>
        <w:t>沉池—消毒池—清水池外排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spacing w:line="5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spacing w:line="5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spacing w:line="540" w:lineRule="exact"/>
        <w:ind w:firstLine="140" w:firstLineChars="5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工艺流程</w:t>
      </w:r>
      <w:r>
        <w:rPr>
          <w:rFonts w:ascii="宋体" w:hAnsi="宋体"/>
          <w:sz w:val="28"/>
          <w:szCs w:val="28"/>
        </w:rPr>
        <w:t>（附工艺流程图）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540" w:lineRule="exact"/>
        <w:ind w:left="0" w:leftChars="0" w:firstLine="0" w:firstLineChars="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238125</wp:posOffset>
            </wp:positionV>
            <wp:extent cx="5874385" cy="3133725"/>
            <wp:effectExtent l="0" t="0" r="8255" b="5715"/>
            <wp:wrapNone/>
            <wp:docPr id="1" name="图片框 1027" descr="QQ图片20131210184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框 1027" descr="QQ图片20131210184750"/>
                    <pic:cNvPicPr>
                      <a:picLocks noChangeAspect="1"/>
                    </pic:cNvPicPr>
                  </pic:nvPicPr>
                  <pic:blipFill>
                    <a:blip r:embed="rId6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438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spacing w:line="5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5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5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5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5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5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5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5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5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5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54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（三）产排污情况</w:t>
      </w:r>
    </w:p>
    <w:p>
      <w:pPr>
        <w:spacing w:line="540" w:lineRule="exact"/>
        <w:ind w:firstLine="57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企业废水经废水A/O工艺处理后，排入呼兰河。</w:t>
      </w:r>
      <w:r>
        <w:rPr>
          <w:rFonts w:ascii="宋体" w:hAnsi="宋体"/>
          <w:sz w:val="28"/>
          <w:szCs w:val="28"/>
        </w:rPr>
        <w:t>排放口名称</w:t>
      </w:r>
      <w:r>
        <w:rPr>
          <w:rFonts w:hint="eastAsia" w:ascii="宋体" w:hAnsi="宋体"/>
          <w:sz w:val="28"/>
          <w:szCs w:val="28"/>
        </w:rPr>
        <w:t>：污水处理厂出水口</w:t>
      </w:r>
    </w:p>
    <w:p>
      <w:pPr>
        <w:shd w:val="solid" w:color="FFFFFF" w:fill="auto"/>
        <w:autoSpaceDN w:val="0"/>
        <w:spacing w:line="315" w:lineRule="atLeast"/>
        <w:ind w:firstLine="560" w:firstLineChars="200"/>
        <w:jc w:val="left"/>
        <w:rPr>
          <w:rFonts w:hint="eastAsia" w:ascii="宋体"/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</w:rPr>
        <w:t>公司主要噪声源为各类水泵、风机等高噪声设备，以机械噪声和空气动力噪声为主。选用低噪声设备，对噪声较大的设备采用了配套的隔声罩、主要产生噪声设备安装于车间地下室，室外噪声小，无影响。</w:t>
      </w:r>
    </w:p>
    <w:p>
      <w:pPr>
        <w:spacing w:line="540" w:lineRule="exact"/>
        <w:ind w:firstLine="562" w:firstLineChars="20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二、监测内容</w:t>
      </w:r>
    </w:p>
    <w:p>
      <w:pPr>
        <w:snapToGrid w:val="0"/>
        <w:spacing w:line="5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（一）废水污染物排放监测</w:t>
      </w: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采用自承担+委托方式开展监测。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  <w:shd w:val="clear" w:color="auto" w:fill="FFFFFF"/>
        </w:rPr>
        <w:t>污染源在线自动监测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监测点位：污水处理厂进、排放口各设</w:t>
      </w:r>
      <w:r>
        <w:rPr>
          <w:rFonts w:ascii="宋体" w:hAnsi="宋体"/>
          <w:sz w:val="28"/>
          <w:szCs w:val="28"/>
        </w:rPr>
        <w:t>1个</w:t>
      </w:r>
      <w:r>
        <w:rPr>
          <w:rFonts w:hint="eastAsia" w:ascii="宋体" w:hAnsi="宋体"/>
          <w:sz w:val="28"/>
          <w:szCs w:val="28"/>
        </w:rPr>
        <w:t>监测</w:t>
      </w:r>
      <w:r>
        <w:rPr>
          <w:rFonts w:ascii="宋体" w:hAnsi="宋体"/>
          <w:sz w:val="28"/>
          <w:szCs w:val="28"/>
        </w:rPr>
        <w:t>点位（监测点位示意图）</w:t>
      </w:r>
      <w:r>
        <w:rPr>
          <w:rFonts w:ascii="宋体" w:hAnsi="宋体"/>
          <w:sz w:val="32"/>
          <w:szCs w:val="32"/>
        </w:rPr>
        <w:t>。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>监测项目：</w:t>
      </w:r>
      <w:r>
        <w:rPr>
          <w:rFonts w:hint="eastAsia" w:ascii="宋体" w:hAnsi="宋体"/>
          <w:sz w:val="28"/>
          <w:szCs w:val="28"/>
        </w:rPr>
        <w:t>COD、氨氮</w:t>
      </w:r>
      <w:r>
        <w:rPr>
          <w:rFonts w:hint="eastAsia" w:ascii="宋体" w:hAnsi="宋体"/>
          <w:sz w:val="28"/>
          <w:szCs w:val="28"/>
          <w:lang w:eastAsia="zh-CN"/>
        </w:rPr>
        <w:t>、总磷、总氮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hd w:val="solid" w:color="FFFFFF" w:fill="auto"/>
        <w:autoSpaceDN w:val="0"/>
        <w:spacing w:line="315" w:lineRule="atLeast"/>
        <w:ind w:firstLine="498" w:firstLineChars="178"/>
        <w:rPr>
          <w:rFonts w:hint="eastAsia" w:ascii="宋体"/>
          <w:sz w:val="28"/>
          <w:szCs w:val="28"/>
          <w:shd w:val="clear" w:color="auto" w:fill="FFFFFF"/>
        </w:rPr>
      </w:pPr>
      <w:r>
        <w:rPr>
          <w:rFonts w:hint="eastAsia" w:ascii="宋体"/>
          <w:sz w:val="28"/>
          <w:szCs w:val="28"/>
          <w:shd w:val="clear" w:color="auto" w:fill="FFFFFF"/>
        </w:rPr>
        <w:t>监测频次：24小时连续监测，1小时传输一次数据。</w:t>
      </w:r>
    </w:p>
    <w:p>
      <w:pPr>
        <w:shd w:val="solid" w:color="FFFFFF" w:fill="auto"/>
        <w:autoSpaceDN w:val="0"/>
        <w:spacing w:line="315" w:lineRule="atLeast"/>
        <w:ind w:firstLine="498" w:firstLineChars="178"/>
        <w:rPr>
          <w:rFonts w:hint="eastAsia"/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监测方法及仪器：见表1。</w:t>
      </w:r>
    </w:p>
    <w:p>
      <w:pPr>
        <w:shd w:val="solid" w:color="FFFFFF" w:fill="auto"/>
        <w:autoSpaceDN w:val="0"/>
        <w:spacing w:line="315" w:lineRule="atLeast"/>
        <w:ind w:firstLine="1200" w:firstLineChars="427"/>
        <w:rPr>
          <w:rFonts w:hint="eastAsia" w:ascii="宋体" w:hAnsi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shd w:val="clear" w:color="auto" w:fill="FFFFFF"/>
        </w:rPr>
        <w:t>表1             监测方法及仪器</w:t>
      </w:r>
    </w:p>
    <w:tbl>
      <w:tblPr>
        <w:tblStyle w:val="5"/>
        <w:tblW w:w="92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618"/>
        <w:gridCol w:w="3274"/>
        <w:gridCol w:w="30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6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序   号</w:t>
            </w:r>
          </w:p>
        </w:tc>
        <w:tc>
          <w:tcPr>
            <w:tcW w:w="16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项   目</w:t>
            </w:r>
          </w:p>
        </w:tc>
        <w:tc>
          <w:tcPr>
            <w:tcW w:w="327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监测方法</w:t>
            </w:r>
          </w:p>
        </w:tc>
        <w:tc>
          <w:tcPr>
            <w:tcW w:w="302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监测仪器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6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1</w:t>
            </w:r>
          </w:p>
        </w:tc>
        <w:tc>
          <w:tcPr>
            <w:tcW w:w="16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COD</w:t>
            </w:r>
          </w:p>
        </w:tc>
        <w:tc>
          <w:tcPr>
            <w:tcW w:w="327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 xml:space="preserve">在线仪表监测 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 xml:space="preserve">          </w:t>
            </w:r>
            <w:r>
              <w:rPr>
                <w:rFonts w:ascii="宋体" w:hAnsi="宋体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重铬酸钾</w:t>
            </w: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分光光度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法</w:t>
            </w:r>
          </w:p>
        </w:tc>
        <w:tc>
          <w:tcPr>
            <w:tcW w:w="302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上海世禄仪器有限公司</w:t>
            </w:r>
          </w:p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型号COD Max II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36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2</w:t>
            </w:r>
          </w:p>
        </w:tc>
        <w:tc>
          <w:tcPr>
            <w:tcW w:w="16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氨氮</w:t>
            </w:r>
          </w:p>
        </w:tc>
        <w:tc>
          <w:tcPr>
            <w:tcW w:w="327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 w:eastAsia="宋体"/>
                <w:sz w:val="24"/>
                <w:shd w:val="clear" w:color="auto" w:fill="FFFFFF"/>
                <w:lang w:eastAsia="zh-CN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 xml:space="preserve">在线仪表监测 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 xml:space="preserve">           </w:t>
            </w:r>
            <w:r>
              <w:rPr>
                <w:rFonts w:ascii="宋体" w:hAnsi="宋体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水杨酸分光光度法</w:t>
            </w:r>
          </w:p>
        </w:tc>
        <w:tc>
          <w:tcPr>
            <w:tcW w:w="302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进口：上海世禄仪器有限公司型号Amtax compact II</w:t>
            </w:r>
          </w:p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出口：中绿环保科技股份有限公司 型号TGH-SN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36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6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总磷</w:t>
            </w:r>
          </w:p>
        </w:tc>
        <w:tc>
          <w:tcPr>
            <w:tcW w:w="327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在线仪表监测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 xml:space="preserve">             磷钼蓝法分光光度法</w:t>
            </w:r>
          </w:p>
        </w:tc>
        <w:tc>
          <w:tcPr>
            <w:tcW w:w="302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博克斯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 xml:space="preserve">     DH312P1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36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6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 w:eastAsia="宋体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总氮</w:t>
            </w:r>
          </w:p>
        </w:tc>
        <w:tc>
          <w:tcPr>
            <w:tcW w:w="327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在线仪表监测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 xml:space="preserve">             过硫酸钾分光光度法</w:t>
            </w:r>
          </w:p>
        </w:tc>
        <w:tc>
          <w:tcPr>
            <w:tcW w:w="302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博克斯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 xml:space="preserve">     DH313TN</w:t>
            </w:r>
          </w:p>
        </w:tc>
      </w:tr>
    </w:tbl>
    <w:p>
      <w:pPr>
        <w:shd w:val="solid" w:color="FFFFFF" w:fill="auto"/>
        <w:autoSpaceDN w:val="0"/>
        <w:spacing w:line="315" w:lineRule="atLeast"/>
        <w:ind w:firstLine="498" w:firstLineChars="178"/>
        <w:rPr>
          <w:rFonts w:hint="eastAsia" w:ascii="宋体"/>
          <w:sz w:val="28"/>
          <w:szCs w:val="28"/>
          <w:shd w:val="clear" w:color="auto" w:fill="FFFFFF"/>
        </w:rPr>
      </w:pPr>
      <w:r>
        <w:rPr>
          <w:rFonts w:hint="eastAsia" w:ascii="宋体"/>
          <w:sz w:val="28"/>
          <w:szCs w:val="28"/>
          <w:shd w:val="clear" w:color="auto" w:fill="FFFFFF"/>
        </w:rPr>
        <w:t>2、手工监测</w:t>
      </w: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我厂日常监测项目有COD、SS、BOD、NH3-N、PH、TP、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TN、SV%、MLSS、污泥含水率、</w:t>
      </w:r>
      <w:r>
        <w:rPr>
          <w:rFonts w:hint="eastAsia" w:ascii="宋体" w:hAnsi="宋体"/>
          <w:kern w:val="0"/>
          <w:sz w:val="28"/>
          <w:szCs w:val="28"/>
        </w:rPr>
        <w:t>DO、油等日常检测。</w:t>
      </w:r>
    </w:p>
    <w:p>
      <w:pPr>
        <w:shd w:val="solid" w:color="FFFFFF" w:fill="auto"/>
        <w:autoSpaceDN w:val="0"/>
        <w:spacing w:line="315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监测点位：进水口、瀑气池、出水口。</w:t>
      </w:r>
    </w:p>
    <w:p>
      <w:pPr>
        <w:spacing w:line="540" w:lineRule="exact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委托</w:t>
      </w:r>
      <w:r>
        <w:rPr>
          <w:rFonts w:hint="eastAsia" w:ascii="宋体" w:hAnsi="宋体"/>
          <w:sz w:val="28"/>
          <w:szCs w:val="28"/>
          <w:shd w:val="clear" w:color="auto" w:fill="FFFFFF"/>
        </w:rPr>
        <w:t>检测项目：</w:t>
      </w:r>
      <w:r>
        <w:rPr>
          <w:rFonts w:ascii="宋体" w:hAnsi="宋体"/>
          <w:kern w:val="0"/>
          <w:sz w:val="28"/>
          <w:szCs w:val="28"/>
        </w:rPr>
        <w:t>化学需氧量、氨氮</w:t>
      </w:r>
      <w:r>
        <w:rPr>
          <w:rFonts w:hint="eastAsia" w:ascii="宋体" w:hAnsi="宋体"/>
          <w:kern w:val="0"/>
          <w:sz w:val="28"/>
          <w:szCs w:val="28"/>
        </w:rPr>
        <w:t>、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烷基汞</w:t>
      </w:r>
      <w:r>
        <w:rPr>
          <w:rFonts w:hint="eastAsia" w:ascii="宋体" w:hAnsi="宋体"/>
          <w:kern w:val="0"/>
          <w:sz w:val="28"/>
          <w:szCs w:val="28"/>
        </w:rPr>
        <w:t>、PH值、生化需氧量、总磷、色度、总汞、总镉、总铬、六价铬、总砷、总铅、悬浮物、阴离子表面活性剂、粪大肠菌群、总氮、石油类、动植物油</w:t>
      </w:r>
      <w:r>
        <w:rPr>
          <w:rFonts w:ascii="宋体" w:hAnsi="宋体"/>
          <w:kern w:val="0"/>
          <w:sz w:val="28"/>
          <w:szCs w:val="28"/>
        </w:rPr>
        <w:t>。</w:t>
      </w:r>
    </w:p>
    <w:p>
      <w:pPr>
        <w:spacing w:line="540" w:lineRule="exact"/>
        <w:ind w:firstLine="560" w:firstLineChars="200"/>
        <w:jc w:val="left"/>
        <w:rPr>
          <w:rFonts w:hint="eastAsia" w:ascii="宋体"/>
          <w:sz w:val="28"/>
          <w:szCs w:val="28"/>
          <w:shd w:val="clear" w:color="auto" w:fill="FFFFFF"/>
        </w:rPr>
      </w:pPr>
      <w:r>
        <w:rPr>
          <w:rFonts w:hint="eastAsia" w:ascii="宋体"/>
          <w:sz w:val="28"/>
          <w:szCs w:val="28"/>
          <w:shd w:val="clear" w:color="auto" w:fill="FFFFFF"/>
        </w:rPr>
        <w:t>监测频次：每月一次。</w:t>
      </w:r>
    </w:p>
    <w:p>
      <w:pPr>
        <w:shd w:val="solid" w:color="FFFFFF" w:fill="auto"/>
        <w:autoSpaceDN w:val="0"/>
        <w:spacing w:line="315" w:lineRule="atLeast"/>
        <w:ind w:firstLine="498" w:firstLineChars="178"/>
        <w:rPr>
          <w:rFonts w:hint="eastAsia"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>监测方法及仪器：见表2。</w:t>
      </w:r>
    </w:p>
    <w:p>
      <w:pPr>
        <w:shd w:val="solid" w:color="FFFFFF" w:fill="auto"/>
        <w:autoSpaceDN w:val="0"/>
        <w:spacing w:line="315" w:lineRule="atLeast"/>
        <w:ind w:firstLine="1341" w:firstLineChars="477"/>
        <w:rPr>
          <w:rFonts w:hint="eastAsia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shd w:val="clear" w:color="auto" w:fill="FFFFFF"/>
        </w:rPr>
        <w:t xml:space="preserve">表2   </w:t>
      </w:r>
      <w:r>
        <w:rPr>
          <w:rFonts w:hint="eastAsia" w:ascii="宋体" w:hAnsi="宋体"/>
          <w:sz w:val="28"/>
          <w:szCs w:val="28"/>
          <w:shd w:val="clear" w:color="auto" w:fill="FFFFFF"/>
        </w:rPr>
        <w:t xml:space="preserve">           </w:t>
      </w:r>
      <w:r>
        <w:rPr>
          <w:rFonts w:hint="eastAsia" w:ascii="宋体" w:hAnsi="宋体"/>
          <w:b/>
          <w:sz w:val="28"/>
          <w:szCs w:val="28"/>
          <w:shd w:val="clear" w:color="auto" w:fill="FFFFFF"/>
        </w:rPr>
        <w:t>监测方法及仪器</w:t>
      </w:r>
    </w:p>
    <w:tbl>
      <w:tblPr>
        <w:tblStyle w:val="5"/>
        <w:tblpPr w:leftFromText="180" w:rightFromText="180" w:vertAnchor="text" w:horzAnchor="margin" w:tblpXSpec="center" w:tblpY="98"/>
        <w:tblW w:w="94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2385"/>
        <w:gridCol w:w="3031"/>
        <w:gridCol w:w="30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序  号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项   目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监测方法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监测仪器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1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COD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重铬酸</w:t>
            </w: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盐法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HJ828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-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2017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 w:eastAsia="宋体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标准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COD</w:t>
            </w:r>
            <w:r>
              <w:rPr>
                <w:rFonts w:hint="eastAsia" w:ascii="宋体" w:hAnsi="宋体"/>
                <w:sz w:val="24"/>
                <w:shd w:val="clear" w:color="auto" w:fill="FFFFFF"/>
                <w:vertAlign w:val="subscript"/>
                <w:lang w:val="en-US" w:eastAsia="zh-CN"/>
              </w:rPr>
              <w:t>CR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消解器、滴定管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2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BOD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稀释与接种法HJ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505</w:t>
            </w:r>
            <w:r>
              <w:rPr>
                <w:rFonts w:ascii="宋体" w:hAnsi="宋体"/>
                <w:sz w:val="24"/>
                <w:shd w:val="clear" w:color="auto" w:fill="FFFFFF"/>
              </w:rPr>
              <w:t>-20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09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滴定</w:t>
            </w: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管、</w:t>
            </w:r>
            <w:r>
              <w:rPr>
                <w:rFonts w:ascii="宋体" w:hAnsi="宋体"/>
                <w:sz w:val="24"/>
                <w:shd w:val="clear" w:color="auto" w:fill="FFFFFF"/>
              </w:rPr>
              <w:t>生化培养箱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3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氨氮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水杨酸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分光光度法HJ53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-2009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 xml:space="preserve"> 紫外可见分光光度计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4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PH值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玻璃电极法GB/T6920-1986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 w:eastAsia="宋体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多参数水质分析仪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5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SS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重量法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GB/T11901-1989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 w:eastAsia="宋体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电热鼓风干燥箱、分析天平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6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TN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碱性过硫酸钾消解紫外分光光度法HJ636-2012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紫外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可见</w:t>
            </w:r>
            <w:r>
              <w:rPr>
                <w:rFonts w:ascii="宋体" w:hAnsi="宋体"/>
                <w:sz w:val="24"/>
                <w:shd w:val="clear" w:color="auto" w:fill="FFFFFF"/>
              </w:rPr>
              <w:t>分光光度计</w:t>
            </w: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、立式压力蒸汽灭菌器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7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TP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钼酸铵分光光度法GB/T11893-1989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紫外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可见</w:t>
            </w:r>
            <w:r>
              <w:rPr>
                <w:rFonts w:ascii="宋体" w:hAnsi="宋体"/>
                <w:sz w:val="24"/>
                <w:shd w:val="clear" w:color="auto" w:fill="FFFFFF"/>
              </w:rPr>
              <w:t>分光光度计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8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粪大肠菌群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多管发酵法和滤膜法（试行）第一篇 多管发酵法HJ/T 347-2007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 xml:space="preserve">恒温培养箱 </w:t>
            </w: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、电动恒温振荡水槽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9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色度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 xml:space="preserve">GB 11903-1989 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 w:eastAsia="宋体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Arial" w:hAnsi="Arial" w:cs="Arial"/>
                <w:color w:val="333333"/>
                <w:sz w:val="24"/>
                <w:lang w:val="en-US" w:eastAsia="zh-CN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10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动植物油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红外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分光</w:t>
            </w:r>
            <w:r>
              <w:rPr>
                <w:rFonts w:ascii="宋体" w:hAnsi="宋体"/>
                <w:sz w:val="24"/>
                <w:shd w:val="clear" w:color="auto" w:fill="FFFFFF"/>
              </w:rPr>
              <w:t>光度法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HJ 637-2012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 w:eastAsia="宋体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红外分光测油仪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11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石油类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红外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分光</w:t>
            </w:r>
            <w:r>
              <w:rPr>
                <w:rFonts w:ascii="宋体" w:hAnsi="宋体"/>
                <w:sz w:val="24"/>
                <w:shd w:val="clear" w:color="auto" w:fill="FFFFFF"/>
              </w:rPr>
              <w:t>光度法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HJ 637-2012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红外分光测油仪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12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阴离子表面活性剂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亚甲蓝分光光度法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 xml:space="preserve">GB 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5750.4-2006 10.1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紫外可见分光光度计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13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 w:eastAsia="宋体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总汞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水质汞、砷、硒、铋和锑的测定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 xml:space="preserve"> 原子荧光法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HJ694-2014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原子荧光光谱仪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14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烷基汞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气相色谱法           GB/T 14204-1993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气相色谱</w:t>
            </w: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15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总铬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高锰酸钾氧化-二苯碳酰二肼分光光度法GB/T 746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-1987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 xml:space="preserve"> 紫外可见分光光度计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16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六价铬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二苯碳酰二肼分光光度法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GB/T 7467-1987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紫外可见分光光度计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17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总砷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水质汞、砷、硒、铋和锑的测定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 xml:space="preserve"> 原子荧光法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HJ694-2014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原子荧光光谱仪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18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镉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水质铜、锌、铅、镉的测定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 xml:space="preserve"> 原子吸收分光光度法 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GB/T 74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5-1987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 w:eastAsia="宋体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原子吸收光谱仪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19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铅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水质铜、锌、铅、镉的测定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 xml:space="preserve"> 原子吸收分光光度法 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GB/T 74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5-1987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原子吸收光谱仪</w:t>
            </w:r>
          </w:p>
        </w:tc>
      </w:tr>
    </w:tbl>
    <w:p>
      <w:pPr>
        <w:rPr>
          <w:rFonts w:hint="eastAsia"/>
        </w:rPr>
      </w:pPr>
    </w:p>
    <w:p>
      <w:pPr>
        <w:shd w:val="solid" w:color="FFFFFF" w:fill="auto"/>
        <w:autoSpaceDN w:val="0"/>
        <w:spacing w:line="315" w:lineRule="atLeast"/>
        <w:ind w:firstLine="498" w:firstLineChars="178"/>
        <w:rPr>
          <w:rFonts w:hint="eastAsia" w:ascii="宋体"/>
          <w:sz w:val="28"/>
          <w:szCs w:val="28"/>
          <w:shd w:val="clear" w:color="auto" w:fill="FFFFFF"/>
        </w:rPr>
      </w:pPr>
      <w:r>
        <w:rPr>
          <w:rFonts w:hint="eastAsia" w:ascii="宋体"/>
          <w:sz w:val="28"/>
          <w:szCs w:val="28"/>
          <w:shd w:val="clear" w:color="auto" w:fill="FFFFFF"/>
        </w:rPr>
        <w:t>3、评价标准</w:t>
      </w:r>
    </w:p>
    <w:p>
      <w:pPr>
        <w:snapToGrid w:val="0"/>
        <w:spacing w:line="540" w:lineRule="exact"/>
        <w:ind w:right="-874" w:rightChars="-416"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废水污染物排放监测结果评价标准执行《城镇污水处理厂污染物排放标准》（GB18918-2002</w:t>
      </w:r>
      <w:r>
        <w:rPr>
          <w:rFonts w:ascii="宋体" w:hAnsi="宋体"/>
          <w:kern w:val="0"/>
          <w:sz w:val="28"/>
          <w:szCs w:val="28"/>
        </w:rPr>
        <w:t>）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二</w:t>
      </w:r>
      <w:r>
        <w:rPr>
          <w:rFonts w:hint="eastAsia" w:ascii="宋体" w:hAnsi="宋体"/>
          <w:kern w:val="0"/>
          <w:sz w:val="28"/>
          <w:szCs w:val="28"/>
        </w:rPr>
        <w:t>级标准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</w:rPr>
        <w:t>见表3。</w:t>
      </w:r>
    </w:p>
    <w:p>
      <w:pPr>
        <w:snapToGrid w:val="0"/>
        <w:spacing w:line="540" w:lineRule="exact"/>
        <w:ind w:right="-874" w:rightChars="-416" w:firstLine="562" w:firstLineChars="200"/>
        <w:rPr>
          <w:rFonts w:hint="eastAsia" w:ascii="宋体" w:hAnsi="宋体"/>
          <w:b/>
          <w:kern w:val="0"/>
          <w:sz w:val="28"/>
          <w:szCs w:val="28"/>
        </w:rPr>
      </w:pPr>
      <w:r>
        <w:rPr>
          <w:rFonts w:ascii="宋体" w:hAnsi="宋体"/>
          <w:b/>
          <w:kern w:val="0"/>
          <w:sz w:val="28"/>
          <w:szCs w:val="28"/>
        </w:rPr>
        <w:br w:type="page"/>
      </w:r>
      <w:r>
        <w:rPr>
          <w:rFonts w:hint="eastAsia" w:ascii="宋体" w:hAnsi="宋体"/>
          <w:b/>
          <w:kern w:val="0"/>
          <w:sz w:val="28"/>
          <w:szCs w:val="28"/>
        </w:rPr>
        <w:t>表3                      评价标准</w:t>
      </w:r>
    </w:p>
    <w:tbl>
      <w:tblPr>
        <w:tblStyle w:val="5"/>
        <w:tblW w:w="8992" w:type="dxa"/>
        <w:tblInd w:w="14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3922"/>
        <w:gridCol w:w="46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widowControl/>
              <w:ind w:firstLine="1680" w:firstLineChars="7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监测指标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限值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6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化学需氧量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6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生化需氧量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6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悬浮物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6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动植物油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6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石油类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6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阴离子表面活性剂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6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总氮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6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氨氮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总磷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6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色度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(稀释倍数)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3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pH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6－9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6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粪大肠菌群数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（个/L）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vertAlign w:val="superscript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3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总汞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0.001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3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总镉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0.01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3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总铬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3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六价铬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0.05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3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总砷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3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总铅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3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烷基汞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不得检出</w:t>
            </w:r>
          </w:p>
        </w:tc>
      </w:tr>
    </w:tbl>
    <w:p>
      <w:pPr>
        <w:spacing w:line="540" w:lineRule="exact"/>
        <w:ind w:firstLine="570"/>
        <w:jc w:val="left"/>
        <w:rPr>
          <w:rFonts w:hint="eastAsia"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  <w:lang w:eastAsia="zh-CN"/>
        </w:rPr>
        <w:t>注：氨氮括号内数值为水温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≤</w:t>
      </w:r>
      <w:r>
        <w:rPr>
          <w:rFonts w:hint="eastAsia" w:ascii="宋体" w:hAnsi="宋体"/>
          <w:sz w:val="21"/>
          <w:szCs w:val="21"/>
          <w:lang w:val="en-US" w:eastAsia="zh-CN"/>
        </w:rPr>
        <w:t>12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℃</w:t>
      </w:r>
      <w:r>
        <w:rPr>
          <w:rFonts w:hint="eastAsia" w:ascii="宋体" w:hAnsi="宋体"/>
          <w:sz w:val="21"/>
          <w:szCs w:val="21"/>
          <w:lang w:val="en-US" w:eastAsia="zh-CN"/>
        </w:rPr>
        <w:t>时的控制指标。</w:t>
      </w:r>
    </w:p>
    <w:p>
      <w:pPr>
        <w:snapToGrid w:val="0"/>
        <w:spacing w:line="5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（二）厂界噪声监测</w:t>
      </w:r>
    </w:p>
    <w:p>
      <w:pPr>
        <w:tabs>
          <w:tab w:val="left" w:pos="890"/>
        </w:tabs>
        <w:snapToGrid w:val="0"/>
        <w:spacing w:line="540" w:lineRule="exact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ab/>
      </w:r>
      <w:r>
        <w:rPr>
          <w:rFonts w:hint="eastAsia" w:ascii="宋体" w:hAnsi="宋体"/>
          <w:kern w:val="0"/>
          <w:sz w:val="28"/>
          <w:szCs w:val="28"/>
        </w:rPr>
        <w:t>噪声设备安装于车间地下室，厂区周边无敏感点，厂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界</w:t>
      </w:r>
      <w:r>
        <w:rPr>
          <w:rFonts w:hint="eastAsia" w:ascii="宋体" w:hAnsi="宋体"/>
          <w:kern w:val="0"/>
          <w:sz w:val="28"/>
          <w:szCs w:val="28"/>
        </w:rPr>
        <w:t>噪声对周边无影响 。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三、</w:t>
      </w:r>
      <w:r>
        <w:rPr>
          <w:rFonts w:hint="eastAsia"/>
          <w:b/>
          <w:sz w:val="28"/>
          <w:szCs w:val="28"/>
        </w:rPr>
        <w:t>质量控制和质量保证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废水污染物自动监测质量保证措施:按照《水污染源在线监测系统运行与考核技术规范》（试行）HJ/T355-2007《水污染源在线监测系统有效性判别技术规范》（试行）HJ/T356-2007对自动监测设备进行方法比对实验及质控样试验、现场校验（包括重复性试验、零点漂移和量程漂移试验）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（二）废水手工监测质量保证措施：按照《地表水和污水监测技术规范》HJ/T91-2002进行。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（三）噪声监测质量保证措施：噪声监测按照《工业企业厂界噪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声测量方法》（GB12349-2008）中规定的要求进行。监测时使用经计量部门检定，并在有效使用期内的声级计，声级计在测试前后用标准发生源进行校准，测量前后仪器的灵敏度相差不大于</w:t>
      </w:r>
      <w:r>
        <w:rPr>
          <w:rFonts w:ascii="宋体" w:hAnsi="宋体"/>
          <w:sz w:val="28"/>
          <w:szCs w:val="28"/>
        </w:rPr>
        <w:t>0.5dB</w:t>
      </w:r>
      <w:r>
        <w:rPr>
          <w:rFonts w:hint="eastAsia" w:ascii="宋体" w:hAnsi="宋体"/>
          <w:sz w:val="28"/>
          <w:szCs w:val="28"/>
        </w:rPr>
        <w:t>，若大于0.5dB测试数据无效。</w:t>
      </w:r>
    </w:p>
    <w:p>
      <w:pPr>
        <w:spacing w:line="540" w:lineRule="exact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四）合理布设监测点，保证各监测点位布设的科学性和可比性。采样人员遵守采样操作规程，认真填写采样记录，按规定保存、运输样品。同时，监测分析方法均采用国家标准或环保部颁布的分析方法，监测人员经考核持证上岗。所有监测仪器、量具均经过质检部门检定合格并在有效期内使用。</w:t>
      </w:r>
    </w:p>
    <w:p>
      <w:pPr>
        <w:spacing w:line="540" w:lineRule="exact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（五）严格执行监测方案。认真如实填写各项自行监测记录及校验记录并妥善保存记录台帐，包括采样记录、样品保存、分析测试记录、监测报告等。</w:t>
      </w:r>
    </w:p>
    <w:p>
      <w:pPr>
        <w:numPr>
          <w:ilvl w:val="0"/>
          <w:numId w:val="1"/>
        </w:numPr>
        <w:spacing w:line="540" w:lineRule="exact"/>
        <w:jc w:val="lef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自行监测结果公布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（一）对外公布方式：省环境保护厅网站及本企业网站。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（二）公布内容：企业名称、排放口及监测点位、监测时间、污染物种类及浓度、标准限值、达标情况、超标倍数、污染物排放方式及排放去向。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（三）公布时限：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、自动监测结果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自动监测数据实时公布监测结果（废水自动监测设备为每2小时均值）。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、手工监测结果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手工监测结果应于每次</w:t>
      </w:r>
      <w:r>
        <w:rPr>
          <w:rFonts w:hint="eastAsia" w:ascii="宋体" w:hAnsi="宋体"/>
          <w:sz w:val="28"/>
          <w:szCs w:val="28"/>
          <w:lang w:eastAsia="zh-CN"/>
        </w:rPr>
        <w:t>检测</w:t>
      </w:r>
      <w:r>
        <w:rPr>
          <w:rFonts w:hint="eastAsia" w:ascii="宋体" w:hAnsi="宋体"/>
          <w:sz w:val="28"/>
          <w:szCs w:val="28"/>
        </w:rPr>
        <w:t>完的次日公布。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、年度报告</w:t>
      </w:r>
    </w:p>
    <w:p>
      <w:pPr>
        <w:snapToGrid w:val="0"/>
        <w:spacing w:line="540" w:lineRule="exact"/>
        <w:ind w:firstLine="560" w:firstLineChars="200"/>
        <w:jc w:val="left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每年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月底前公布上年度自行监测年度报告</w:t>
      </w:r>
    </w:p>
    <w:p>
      <w:pPr>
        <w:widowControl/>
        <w:spacing w:line="500" w:lineRule="atLeast"/>
        <w:jc w:val="left"/>
        <w:rPr>
          <w:rFonts w:hint="eastAsia"/>
          <w:b/>
          <w:sz w:val="32"/>
          <w:szCs w:val="32"/>
        </w:rPr>
      </w:pPr>
    </w:p>
    <w:p>
      <w:pPr>
        <w:widowControl/>
        <w:spacing w:line="500" w:lineRule="atLeast"/>
        <w:jc w:val="left"/>
        <w:rPr>
          <w:rFonts w:hint="eastAsia"/>
          <w:b/>
          <w:sz w:val="32"/>
          <w:szCs w:val="32"/>
        </w:rPr>
      </w:pPr>
    </w:p>
    <w:p>
      <w:pPr>
        <w:widowControl/>
        <w:spacing w:line="500" w:lineRule="atLeast"/>
        <w:jc w:val="left"/>
        <w:rPr>
          <w:rFonts w:hint="eastAsia"/>
          <w:b/>
          <w:sz w:val="32"/>
          <w:szCs w:val="32"/>
        </w:rPr>
      </w:pPr>
    </w:p>
    <w:p>
      <w:pPr>
        <w:widowControl/>
        <w:spacing w:line="500" w:lineRule="atLeast"/>
        <w:jc w:val="left"/>
        <w:rPr>
          <w:rFonts w:hint="eastAsia"/>
          <w:b/>
          <w:sz w:val="32"/>
          <w:szCs w:val="32"/>
        </w:rPr>
      </w:pPr>
    </w:p>
    <w:p>
      <w:pPr>
        <w:widowControl/>
        <w:spacing w:line="500" w:lineRule="atLeast"/>
        <w:jc w:val="left"/>
        <w:rPr>
          <w:rFonts w:hint="eastAsia"/>
          <w:b/>
          <w:sz w:val="32"/>
          <w:szCs w:val="32"/>
        </w:rPr>
      </w:pPr>
    </w:p>
    <w:p>
      <w:pPr>
        <w:widowControl/>
        <w:spacing w:line="500" w:lineRule="atLeast"/>
        <w:jc w:val="left"/>
        <w:rPr>
          <w:rFonts w:hint="eastAsia"/>
          <w:b/>
          <w:sz w:val="32"/>
          <w:szCs w:val="32"/>
        </w:rPr>
      </w:pPr>
    </w:p>
    <w:p>
      <w:pPr>
        <w:widowControl/>
        <w:spacing w:line="500" w:lineRule="atLeast"/>
        <w:jc w:val="left"/>
        <w:rPr>
          <w:rFonts w:hint="eastAsia"/>
          <w:b/>
          <w:sz w:val="32"/>
          <w:szCs w:val="32"/>
        </w:rPr>
      </w:pPr>
    </w:p>
    <w:p>
      <w:pPr>
        <w:widowControl/>
        <w:spacing w:line="500" w:lineRule="atLeast"/>
        <w:jc w:val="left"/>
        <w:rPr>
          <w:rFonts w:hint="eastAsia"/>
          <w:b/>
          <w:sz w:val="32"/>
          <w:szCs w:val="32"/>
        </w:rPr>
      </w:pPr>
    </w:p>
    <w:p>
      <w:pPr>
        <w:widowControl/>
        <w:spacing w:line="500" w:lineRule="atLeast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</w:p>
    <w:p>
      <w:pPr>
        <w:widowControl/>
        <w:spacing w:line="500" w:lineRule="atLeast"/>
        <w:jc w:val="left"/>
        <w:rPr>
          <w:rFonts w:hint="eastAsia"/>
          <w:b/>
          <w:sz w:val="32"/>
          <w:szCs w:val="32"/>
        </w:rPr>
      </w:pPr>
    </w:p>
    <w:p>
      <w:pPr>
        <w:widowControl/>
        <w:spacing w:line="500" w:lineRule="atLeast"/>
        <w:jc w:val="left"/>
        <w:rPr>
          <w:rFonts w:hint="eastAsia"/>
          <w:b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08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02B"/>
    <w:multiLevelType w:val="multilevel"/>
    <w:tmpl w:val="106A602B"/>
    <w:lvl w:ilvl="0" w:tentative="0">
      <w:start w:val="4"/>
      <w:numFmt w:val="japaneseCounting"/>
      <w:lvlText w:val="%1、"/>
      <w:lvlJc w:val="left"/>
      <w:pPr>
        <w:ind w:left="1361" w:hanging="720"/>
      </w:pPr>
      <w:rPr>
        <w:rFonts w:hint="default" w:hAnsi="华文仿宋"/>
      </w:rPr>
    </w:lvl>
    <w:lvl w:ilvl="1" w:tentative="0">
      <w:start w:val="1"/>
      <w:numFmt w:val="lowerLetter"/>
      <w:lvlText w:val="%2)"/>
      <w:lvlJc w:val="left"/>
      <w:pPr>
        <w:ind w:left="1481" w:hanging="420"/>
      </w:pPr>
    </w:lvl>
    <w:lvl w:ilvl="2" w:tentative="0">
      <w:start w:val="1"/>
      <w:numFmt w:val="lowerRoman"/>
      <w:lvlText w:val="%3."/>
      <w:lvlJc w:val="right"/>
      <w:pPr>
        <w:ind w:left="1901" w:hanging="420"/>
      </w:pPr>
    </w:lvl>
    <w:lvl w:ilvl="3" w:tentative="0">
      <w:start w:val="1"/>
      <w:numFmt w:val="decimal"/>
      <w:lvlText w:val="%4."/>
      <w:lvlJc w:val="left"/>
      <w:pPr>
        <w:ind w:left="2321" w:hanging="420"/>
      </w:pPr>
    </w:lvl>
    <w:lvl w:ilvl="4" w:tentative="0">
      <w:start w:val="1"/>
      <w:numFmt w:val="lowerLetter"/>
      <w:lvlText w:val="%5)"/>
      <w:lvlJc w:val="left"/>
      <w:pPr>
        <w:ind w:left="2741" w:hanging="420"/>
      </w:pPr>
    </w:lvl>
    <w:lvl w:ilvl="5" w:tentative="0">
      <w:start w:val="1"/>
      <w:numFmt w:val="lowerRoman"/>
      <w:lvlText w:val="%6."/>
      <w:lvlJc w:val="right"/>
      <w:pPr>
        <w:ind w:left="3161" w:hanging="420"/>
      </w:pPr>
    </w:lvl>
    <w:lvl w:ilvl="6" w:tentative="0">
      <w:start w:val="1"/>
      <w:numFmt w:val="decimal"/>
      <w:lvlText w:val="%7."/>
      <w:lvlJc w:val="left"/>
      <w:pPr>
        <w:ind w:left="3581" w:hanging="420"/>
      </w:pPr>
    </w:lvl>
    <w:lvl w:ilvl="7" w:tentative="0">
      <w:start w:val="1"/>
      <w:numFmt w:val="lowerLetter"/>
      <w:lvlText w:val="%8)"/>
      <w:lvlJc w:val="left"/>
      <w:pPr>
        <w:ind w:left="4001" w:hanging="420"/>
      </w:pPr>
    </w:lvl>
    <w:lvl w:ilvl="8" w:tentative="0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B0E73"/>
    <w:rsid w:val="3E0537E9"/>
    <w:rsid w:val="6012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哈尔滨市滨财信鸽公棚</cp:lastModifiedBy>
  <dcterms:modified xsi:type="dcterms:W3CDTF">2019-01-09T01:36:48Z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