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cs="宋体-PUA"/>
          <w:sz w:val="40"/>
          <w:szCs w:val="40"/>
        </w:rPr>
      </w:pPr>
    </w:p>
    <w:p>
      <w:pPr>
        <w:jc w:val="both"/>
        <w:rPr>
          <w:rFonts w:hint="eastAsia" w:ascii="宋体" w:hAnsi="宋体" w:cs="宋体-PUA"/>
          <w:sz w:val="40"/>
          <w:szCs w:val="40"/>
        </w:rPr>
      </w:pPr>
    </w:p>
    <w:p>
      <w:pPr>
        <w:jc w:val="both"/>
        <w:rPr>
          <w:rFonts w:hint="eastAsia" w:ascii="宋体" w:hAnsi="宋体" w:cs="宋体-PUA"/>
          <w:sz w:val="40"/>
          <w:szCs w:val="40"/>
        </w:rPr>
      </w:pPr>
    </w:p>
    <w:p>
      <w:pPr>
        <w:jc w:val="both"/>
        <w:rPr>
          <w:rFonts w:hint="eastAsia" w:ascii="宋体" w:hAnsi="宋体" w:cs="宋体-PUA"/>
          <w:sz w:val="40"/>
          <w:szCs w:val="40"/>
        </w:rPr>
      </w:pPr>
    </w:p>
    <w:p>
      <w:pPr>
        <w:jc w:val="both"/>
        <w:rPr>
          <w:rFonts w:hint="eastAsia" w:ascii="宋体" w:hAnsi="宋体" w:cs="宋体-PUA"/>
          <w:sz w:val="40"/>
          <w:szCs w:val="40"/>
        </w:rPr>
      </w:pPr>
    </w:p>
    <w:p>
      <w:pPr>
        <w:jc w:val="center"/>
        <w:rPr>
          <w:rFonts w:ascii="宋体" w:hAnsi="宋体" w:cs="宋体-PUA"/>
          <w:sz w:val="40"/>
          <w:szCs w:val="40"/>
        </w:rPr>
      </w:pPr>
      <w:r>
        <w:rPr>
          <w:rFonts w:hint="eastAsia" w:ascii="宋体" w:hAnsi="宋体" w:cs="宋体-PUA"/>
          <w:sz w:val="40"/>
          <w:szCs w:val="40"/>
        </w:rPr>
        <w:t>华能新华发电有限责任公司</w:t>
      </w:r>
    </w:p>
    <w:p>
      <w:pPr>
        <w:jc w:val="center"/>
        <w:rPr>
          <w:rFonts w:hint="eastAsia" w:ascii="宋体" w:hAnsi="宋体" w:cs="宋体-PUA"/>
          <w:sz w:val="40"/>
          <w:szCs w:val="40"/>
        </w:rPr>
      </w:pPr>
      <w:r>
        <w:rPr>
          <w:rFonts w:hint="eastAsia" w:ascii="宋体" w:hAnsi="宋体" w:cs="宋体-PUA"/>
          <w:sz w:val="40"/>
          <w:szCs w:val="40"/>
        </w:rPr>
        <w:t>201</w:t>
      </w:r>
      <w:r>
        <w:rPr>
          <w:rFonts w:hint="eastAsia" w:ascii="宋体" w:hAnsi="宋体" w:cs="宋体-PUA"/>
          <w:sz w:val="40"/>
          <w:szCs w:val="40"/>
          <w:lang w:val="en-US" w:eastAsia="zh-CN"/>
        </w:rPr>
        <w:t>9</w:t>
      </w:r>
      <w:r>
        <w:rPr>
          <w:rFonts w:hint="eastAsia" w:ascii="宋体" w:hAnsi="宋体" w:cs="宋体-PUA"/>
          <w:sz w:val="40"/>
          <w:szCs w:val="40"/>
        </w:rPr>
        <w:t>年度自行监测方案</w:t>
      </w:r>
    </w:p>
    <w:p>
      <w:pPr>
        <w:jc w:val="center"/>
        <w:rPr>
          <w:rFonts w:hint="eastAsia" w:ascii="宋体" w:hAnsi="宋体" w:cs="宋体-PUA"/>
          <w:sz w:val="40"/>
          <w:szCs w:val="40"/>
        </w:rPr>
      </w:pPr>
    </w:p>
    <w:p>
      <w:pPr>
        <w:jc w:val="center"/>
        <w:rPr>
          <w:rFonts w:hint="eastAsia" w:ascii="宋体" w:hAnsi="宋体" w:cs="宋体-PUA"/>
          <w:sz w:val="40"/>
          <w:szCs w:val="40"/>
        </w:rPr>
      </w:pPr>
    </w:p>
    <w:p>
      <w:pPr>
        <w:rPr>
          <w:rFonts w:ascii="宋体" w:hAnsi="宋体" w:cs="宋体-PUA"/>
          <w:sz w:val="52"/>
          <w:szCs w:val="52"/>
        </w:rPr>
      </w:pPr>
    </w:p>
    <w:p>
      <w:pPr>
        <w:rPr>
          <w:rFonts w:ascii="宋体" w:hAnsi="宋体" w:eastAsia="宋体"/>
          <w:sz w:val="32"/>
          <w:szCs w:val="32"/>
        </w:rPr>
      </w:pPr>
      <w:r>
        <w:rPr>
          <w:rFonts w:hint="eastAsia" w:ascii="宋体" w:hAnsi="宋体" w:eastAsia="宋体"/>
          <w:sz w:val="32"/>
          <w:szCs w:val="32"/>
        </w:rPr>
        <w:t xml:space="preserve">              批准：</w:t>
      </w:r>
    </w:p>
    <w:p>
      <w:pPr>
        <w:jc w:val="cente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t xml:space="preserve">              审批：</w:t>
      </w:r>
    </w:p>
    <w:p>
      <w:pP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t xml:space="preserve">              编制：</w:t>
      </w:r>
    </w:p>
    <w:p>
      <w:pPr>
        <w:jc w:val="cente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t xml:space="preserve">              </w:t>
      </w:r>
    </w:p>
    <w:p>
      <w:pPr>
        <w:rPr>
          <w:rFonts w:ascii="宋体" w:hAnsi="宋体" w:eastAsia="宋体"/>
          <w:sz w:val="32"/>
          <w:szCs w:val="32"/>
        </w:rPr>
      </w:pPr>
    </w:p>
    <w:p>
      <w:pPr>
        <w:jc w:val="center"/>
        <w:rPr>
          <w:rFonts w:ascii="宋体" w:hAnsi="宋体" w:eastAsia="宋体"/>
          <w:sz w:val="32"/>
          <w:szCs w:val="32"/>
        </w:rPr>
      </w:pPr>
      <w:r>
        <w:rPr>
          <w:rFonts w:hint="eastAsia" w:ascii="宋体" w:hAnsi="宋体" w:eastAsia="宋体"/>
          <w:sz w:val="32"/>
          <w:szCs w:val="32"/>
        </w:rPr>
        <w:t>单位：华能新华发电有限责任公司</w:t>
      </w:r>
    </w:p>
    <w:p>
      <w:pPr>
        <w:jc w:val="center"/>
        <w:rPr>
          <w:rFonts w:ascii="宋体" w:hAnsi="宋体" w:cs="宋体-PUA"/>
          <w:sz w:val="32"/>
          <w:szCs w:val="32"/>
        </w:rPr>
      </w:pPr>
      <w:r>
        <w:rPr>
          <w:rFonts w:hint="eastAsia" w:ascii="宋体" w:hAnsi="宋体" w:cs="宋体-PUA"/>
          <w:sz w:val="32"/>
          <w:szCs w:val="32"/>
        </w:rPr>
        <w:t>201</w:t>
      </w:r>
      <w:r>
        <w:rPr>
          <w:rFonts w:hint="eastAsia" w:ascii="宋体" w:hAnsi="宋体" w:cs="宋体-PUA"/>
          <w:sz w:val="32"/>
          <w:szCs w:val="32"/>
          <w:lang w:val="en-US" w:eastAsia="zh-CN"/>
        </w:rPr>
        <w:t>8</w:t>
      </w:r>
      <w:r>
        <w:rPr>
          <w:rFonts w:hint="eastAsia" w:ascii="宋体" w:hAnsi="宋体" w:cs="宋体-PUA"/>
          <w:sz w:val="32"/>
          <w:szCs w:val="32"/>
        </w:rPr>
        <w:t>年12月25日</w:t>
      </w:r>
    </w:p>
    <w:p>
      <w:pPr>
        <w:rPr>
          <w:rFonts w:ascii="宋体" w:hAnsi="宋体" w:eastAsia="宋体" w:cs="宋体-PUA"/>
          <w:sz w:val="36"/>
          <w:szCs w:val="52"/>
        </w:rPr>
      </w:pPr>
    </w:p>
    <w:p>
      <w:pPr>
        <w:jc w:val="center"/>
        <w:rPr>
          <w:rFonts w:ascii="宋体" w:hAnsi="宋体" w:eastAsia="宋体" w:cs="宋体-PUA"/>
          <w:sz w:val="36"/>
          <w:szCs w:val="52"/>
        </w:rPr>
      </w:pPr>
      <w:r>
        <w:rPr>
          <w:rFonts w:hint="eastAsia" w:ascii="宋体" w:hAnsi="宋体" w:eastAsia="宋体" w:cs="宋体-PUA"/>
          <w:sz w:val="36"/>
          <w:szCs w:val="52"/>
        </w:rPr>
        <w:t>华能新华发电有限责任公司</w:t>
      </w:r>
    </w:p>
    <w:p>
      <w:pPr>
        <w:jc w:val="center"/>
        <w:rPr>
          <w:rFonts w:ascii="宋体" w:hAnsi="宋体" w:eastAsia="宋体" w:cs="宋体-PUA"/>
          <w:sz w:val="36"/>
          <w:szCs w:val="52"/>
        </w:rPr>
      </w:pPr>
      <w:r>
        <w:rPr>
          <w:rFonts w:hint="eastAsia" w:ascii="宋体" w:hAnsi="宋体" w:eastAsia="宋体" w:cs="宋体-PUA"/>
          <w:sz w:val="36"/>
          <w:szCs w:val="52"/>
        </w:rPr>
        <w:t>201</w:t>
      </w:r>
      <w:r>
        <w:rPr>
          <w:rFonts w:hint="eastAsia" w:ascii="宋体" w:hAnsi="宋体" w:eastAsia="宋体" w:cs="宋体-PUA"/>
          <w:sz w:val="36"/>
          <w:szCs w:val="52"/>
          <w:lang w:val="en-US" w:eastAsia="zh-CN"/>
        </w:rPr>
        <w:t>9</w:t>
      </w:r>
      <w:r>
        <w:rPr>
          <w:rFonts w:hint="eastAsia" w:ascii="宋体" w:hAnsi="宋体" w:eastAsia="宋体" w:cs="宋体-PUA"/>
          <w:sz w:val="36"/>
          <w:szCs w:val="52"/>
        </w:rPr>
        <w:t>年度自行监测方案</w:t>
      </w:r>
    </w:p>
    <w:p>
      <w:pPr>
        <w:rPr>
          <w:rFonts w:ascii="宋体" w:hAnsi="宋体" w:eastAsia="宋体" w:cs="宋体-PUA"/>
          <w:sz w:val="40"/>
          <w:szCs w:val="52"/>
        </w:rPr>
      </w:pPr>
    </w:p>
    <w:p>
      <w:pPr>
        <w:spacing w:line="540" w:lineRule="exact"/>
        <w:jc w:val="left"/>
        <w:rPr>
          <w:rFonts w:ascii="宋体" w:hAnsi="宋体" w:eastAsia="宋体" w:cs="宋体-PUA"/>
          <w:sz w:val="28"/>
          <w:szCs w:val="28"/>
        </w:rPr>
      </w:pPr>
      <w:r>
        <w:rPr>
          <w:rFonts w:hint="eastAsia" w:ascii="宋体" w:hAnsi="宋体" w:cs="宋体-PUA"/>
          <w:kern w:val="0"/>
          <w:sz w:val="32"/>
          <w:szCs w:val="32"/>
        </w:rPr>
        <w:t xml:space="preserve">   </w:t>
      </w:r>
      <w:r>
        <w:rPr>
          <w:rFonts w:hint="eastAsia" w:ascii="宋体" w:hAnsi="宋体" w:cs="宋体-PUA"/>
          <w:kern w:val="0"/>
          <w:sz w:val="28"/>
          <w:szCs w:val="28"/>
        </w:rPr>
        <w:t xml:space="preserve"> </w:t>
      </w:r>
      <w:r>
        <w:rPr>
          <w:rFonts w:hint="eastAsia" w:ascii="宋体" w:hAnsi="宋体" w:eastAsia="宋体" w:cs="宋体-PUA"/>
          <w:kern w:val="0"/>
          <w:sz w:val="28"/>
          <w:szCs w:val="28"/>
        </w:rPr>
        <w:t>为自觉履行保护环境的义务，主动接受社会监督，按照《国家重点监控企业自行监测及信息公开办法（试行）》（环发[2013]81号），环境影响评价报告书及其批复、国家或地方污染物排放标准、环境监测技术规范等要求，</w:t>
      </w:r>
      <w:r>
        <w:rPr>
          <w:rFonts w:hint="eastAsia" w:ascii="宋体" w:hAnsi="宋体" w:eastAsia="宋体" w:cs="宋体-PUA"/>
          <w:sz w:val="28"/>
          <w:szCs w:val="28"/>
        </w:rPr>
        <w:t>根据我公司的实际生产情况，制定了201</w:t>
      </w:r>
      <w:r>
        <w:rPr>
          <w:rFonts w:hint="eastAsia" w:ascii="宋体" w:hAnsi="宋体" w:eastAsia="宋体" w:cs="宋体-PUA"/>
          <w:sz w:val="28"/>
          <w:szCs w:val="28"/>
          <w:lang w:val="en-US" w:eastAsia="zh-CN"/>
        </w:rPr>
        <w:t>9</w:t>
      </w:r>
      <w:r>
        <w:rPr>
          <w:rFonts w:hint="eastAsia" w:ascii="宋体" w:hAnsi="宋体" w:eastAsia="宋体" w:cs="宋体-PUA"/>
          <w:sz w:val="28"/>
          <w:szCs w:val="28"/>
        </w:rPr>
        <w:t>年度自行监测方案，并严格执行。</w:t>
      </w:r>
    </w:p>
    <w:p>
      <w:pPr>
        <w:spacing w:line="540" w:lineRule="exact"/>
        <w:ind w:firstLine="562" w:firstLineChars="200"/>
        <w:jc w:val="left"/>
        <w:rPr>
          <w:rFonts w:ascii="宋体" w:hAnsi="宋体" w:eastAsia="宋体" w:cs="宋体-PUA"/>
          <w:b/>
          <w:sz w:val="28"/>
          <w:szCs w:val="28"/>
        </w:rPr>
      </w:pPr>
      <w:r>
        <w:rPr>
          <w:rFonts w:hint="eastAsia" w:ascii="宋体" w:hAnsi="宋体" w:eastAsia="宋体" w:cs="宋体-PUA"/>
          <w:b/>
          <w:sz w:val="28"/>
          <w:szCs w:val="28"/>
        </w:rPr>
        <w:t>一、公司基本情况</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（一）基础信息</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企业名称：华能新华发电有限责任公司</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法人代表：邵国湘</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所属行业：火力发电</w:t>
      </w:r>
    </w:p>
    <w:p>
      <w:pPr>
        <w:spacing w:line="540" w:lineRule="exact"/>
        <w:ind w:left="2038" w:leftChars="304" w:hanging="1400" w:hangingChars="500"/>
        <w:jc w:val="left"/>
        <w:rPr>
          <w:rFonts w:ascii="宋体" w:hAnsi="宋体" w:eastAsia="宋体" w:cs="宋体-PUA"/>
          <w:sz w:val="28"/>
          <w:szCs w:val="28"/>
        </w:rPr>
      </w:pPr>
      <w:r>
        <w:rPr>
          <w:rFonts w:hint="eastAsia" w:ascii="宋体" w:hAnsi="宋体" w:eastAsia="宋体" w:cs="宋体-PUA"/>
          <w:sz w:val="28"/>
          <w:szCs w:val="28"/>
        </w:rPr>
        <w:t>通讯地址：黑龙江省大庆市大同区新华屯</w:t>
      </w:r>
    </w:p>
    <w:p>
      <w:pPr>
        <w:spacing w:line="540" w:lineRule="exact"/>
        <w:ind w:left="2038" w:leftChars="304" w:hanging="1400" w:hangingChars="500"/>
        <w:jc w:val="left"/>
        <w:rPr>
          <w:rFonts w:ascii="宋体" w:hAnsi="宋体" w:eastAsia="宋体" w:cs="宋体-PUA"/>
          <w:sz w:val="28"/>
          <w:szCs w:val="28"/>
        </w:rPr>
      </w:pPr>
      <w:r>
        <w:rPr>
          <w:rFonts w:hint="eastAsia" w:ascii="宋体" w:hAnsi="宋体" w:eastAsia="宋体" w:cs="宋体-PUA"/>
          <w:sz w:val="28"/>
          <w:szCs w:val="28"/>
        </w:rPr>
        <w:t>邮政编码：163815</w:t>
      </w:r>
    </w:p>
    <w:p>
      <w:pPr>
        <w:spacing w:line="540" w:lineRule="exact"/>
        <w:ind w:firstLine="560" w:firstLineChars="200"/>
        <w:jc w:val="left"/>
        <w:rPr>
          <w:rFonts w:hint="eastAsia" w:ascii="宋体" w:hAnsi="宋体" w:eastAsia="宋体" w:cs="宋体-PUA"/>
          <w:sz w:val="28"/>
          <w:szCs w:val="28"/>
          <w:lang w:eastAsia="zh-CN"/>
        </w:rPr>
      </w:pPr>
      <w:r>
        <w:rPr>
          <w:rFonts w:hint="eastAsia" w:ascii="宋体" w:hAnsi="宋体" w:eastAsia="宋体" w:cs="宋体-PUA"/>
          <w:sz w:val="28"/>
          <w:szCs w:val="28"/>
        </w:rPr>
        <w:t xml:space="preserve">联系人：  </w:t>
      </w:r>
      <w:r>
        <w:rPr>
          <w:rFonts w:hint="eastAsia" w:ascii="宋体" w:hAnsi="宋体" w:eastAsia="宋体" w:cs="宋体-PUA"/>
          <w:sz w:val="28"/>
          <w:szCs w:val="28"/>
          <w:lang w:eastAsia="zh-CN"/>
        </w:rPr>
        <w:t>张振才</w:t>
      </w:r>
    </w:p>
    <w:p>
      <w:pPr>
        <w:ind w:firstLine="555"/>
        <w:rPr>
          <w:rFonts w:hint="eastAsia" w:ascii="宋体" w:hAnsi="宋体" w:eastAsia="宋体" w:cs="宋体-PUA"/>
          <w:sz w:val="28"/>
          <w:szCs w:val="28"/>
          <w:lang w:val="en-US" w:eastAsia="zh-CN"/>
        </w:rPr>
      </w:pPr>
      <w:r>
        <w:rPr>
          <w:rFonts w:hint="eastAsia" w:ascii="宋体" w:hAnsi="宋体" w:eastAsia="宋体" w:cs="宋体-PUA"/>
          <w:sz w:val="28"/>
          <w:szCs w:val="28"/>
        </w:rPr>
        <w:t>电   话：0459—69122</w:t>
      </w:r>
      <w:r>
        <w:rPr>
          <w:rFonts w:hint="eastAsia" w:ascii="宋体" w:hAnsi="宋体" w:eastAsia="宋体" w:cs="宋体-PUA"/>
          <w:sz w:val="28"/>
          <w:szCs w:val="28"/>
          <w:lang w:val="en-US" w:eastAsia="zh-CN"/>
        </w:rPr>
        <w:t>71</w:t>
      </w:r>
      <w:r>
        <w:rPr>
          <w:rFonts w:hint="eastAsia" w:ascii="宋体" w:hAnsi="宋体" w:eastAsia="宋体" w:cs="宋体-PUA"/>
          <w:sz w:val="28"/>
          <w:szCs w:val="28"/>
        </w:rPr>
        <w:t xml:space="preserve">  手机：1</w:t>
      </w:r>
      <w:r>
        <w:rPr>
          <w:rFonts w:hint="eastAsia" w:ascii="宋体" w:hAnsi="宋体" w:eastAsia="宋体" w:cs="宋体-PUA"/>
          <w:sz w:val="28"/>
          <w:szCs w:val="28"/>
          <w:lang w:val="en-US" w:eastAsia="zh-CN"/>
        </w:rPr>
        <w:t>7745571529</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地理位置：华能新华发电有限责任公司</w:t>
      </w:r>
      <w:r>
        <w:rPr>
          <w:rFonts w:hint="eastAsia" w:ascii="宋体" w:hAnsi="宋体" w:eastAsia="宋体" w:cs="宋体-PUA"/>
          <w:bCs/>
          <w:sz w:val="28"/>
          <w:szCs w:val="28"/>
        </w:rPr>
        <w:t>位于黑龙江省</w:t>
      </w:r>
      <w:r>
        <w:rPr>
          <w:rFonts w:hint="eastAsia" w:ascii="宋体" w:hAnsi="宋体" w:eastAsia="宋体" w:cs="宋体-PUA"/>
          <w:sz w:val="28"/>
          <w:szCs w:val="28"/>
        </w:rPr>
        <w:t>大庆市大同区新华屯</w:t>
      </w:r>
      <w:r>
        <w:rPr>
          <w:rFonts w:hint="eastAsia" w:ascii="宋体" w:hAnsi="宋体" w:eastAsia="宋体" w:cs="宋体-PUA"/>
          <w:bCs/>
          <w:sz w:val="28"/>
          <w:szCs w:val="28"/>
        </w:rPr>
        <w:t>，距大庆市区约76km</w:t>
      </w:r>
      <w:r>
        <w:rPr>
          <w:rFonts w:hint="eastAsia" w:ascii="宋体" w:hAnsi="宋体" w:eastAsia="宋体" w:cs="宋体-PUA"/>
          <w:sz w:val="28"/>
          <w:szCs w:val="28"/>
        </w:rPr>
        <w:t>。地理坐标位于东经：124°3</w:t>
      </w:r>
      <w:r>
        <w:rPr>
          <w:rFonts w:hint="eastAsia" w:ascii="宋体" w:hAnsi="宋体" w:eastAsia="宋体" w:cs="宋体-PUA"/>
          <w:sz w:val="28"/>
          <w:szCs w:val="28"/>
          <w:lang w:val="en-US" w:eastAsia="zh-CN"/>
        </w:rPr>
        <w:t>6</w:t>
      </w:r>
      <w:r>
        <w:rPr>
          <w:rFonts w:hint="eastAsia" w:ascii="宋体" w:hAnsi="宋体" w:eastAsia="宋体" w:cs="宋体-PUA"/>
          <w:sz w:val="28"/>
          <w:szCs w:val="28"/>
        </w:rPr>
        <w:t>ˊ</w:t>
      </w:r>
      <w:r>
        <w:rPr>
          <w:rFonts w:hint="eastAsia" w:ascii="宋体" w:hAnsi="宋体" w:eastAsia="宋体" w:cs="宋体-PUA"/>
          <w:sz w:val="28"/>
          <w:szCs w:val="28"/>
          <w:lang w:val="en-US" w:eastAsia="zh-CN"/>
        </w:rPr>
        <w:t>9.04</w:t>
      </w:r>
      <w:r>
        <w:rPr>
          <w:rFonts w:hint="eastAsia" w:ascii="宋体" w:hAnsi="宋体" w:eastAsia="宋体" w:cs="宋体-PUA"/>
          <w:sz w:val="28"/>
          <w:szCs w:val="28"/>
        </w:rPr>
        <w:t>" ；北纬：46°8ˊ</w:t>
      </w:r>
      <w:r>
        <w:rPr>
          <w:rFonts w:hint="eastAsia" w:ascii="宋体" w:hAnsi="宋体" w:eastAsia="宋体" w:cs="宋体-PUA"/>
          <w:sz w:val="28"/>
          <w:szCs w:val="28"/>
          <w:lang w:val="en-US" w:eastAsia="zh-CN"/>
        </w:rPr>
        <w:t>13.50</w:t>
      </w:r>
      <w:r>
        <w:rPr>
          <w:rFonts w:hint="eastAsia" w:ascii="宋体" w:hAnsi="宋体" w:eastAsia="宋体" w:cs="宋体-PUA"/>
          <w:sz w:val="28"/>
          <w:szCs w:val="28"/>
        </w:rPr>
        <w:t>"（附位置图）</w:t>
      </w:r>
    </w:p>
    <w:p>
      <w:pPr>
        <w:rPr>
          <w:rFonts w:ascii="宋体" w:hAnsi="宋体" w:cs="宋体-PUA"/>
          <w:sz w:val="28"/>
          <w:szCs w:val="28"/>
        </w:rPr>
      </w:pPr>
    </w:p>
    <w:p>
      <w:pPr>
        <w:rPr>
          <w:rFonts w:ascii="宋体" w:hAnsi="宋体" w:cs="宋体-PUA"/>
          <w:sz w:val="28"/>
          <w:szCs w:val="28"/>
        </w:rPr>
      </w:pPr>
    </w:p>
    <w:p>
      <w:pPr>
        <w:rPr>
          <w:rFonts w:ascii="宋体" w:hAnsi="宋体" w:cs="宋体-PUA"/>
          <w:sz w:val="28"/>
          <w:szCs w:val="28"/>
        </w:rPr>
      </w:pPr>
    </w:p>
    <w:p>
      <w:r>
        <w:rPr>
          <w:rFonts w:hint="eastAsia" w:ascii="宋体" w:hAnsi="宋体" w:cs="宋体-PUA"/>
          <w:sz w:val="28"/>
          <w:szCs w:val="28"/>
        </w:rPr>
        <w:drawing>
          <wp:inline distT="0" distB="0" distL="0" distR="0">
            <wp:extent cx="5274310" cy="5869305"/>
            <wp:effectExtent l="19050" t="0" r="2540" b="0"/>
            <wp:docPr id="2" name="图片 1" descr="新华电厂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新华电厂地理位置图"/>
                    <pic:cNvPicPr>
                      <a:picLocks noChangeAspect="1" noChangeArrowheads="1"/>
                    </pic:cNvPicPr>
                  </pic:nvPicPr>
                  <pic:blipFill>
                    <a:blip r:embed="rId5" cstate="print"/>
                    <a:srcRect/>
                    <a:stretch>
                      <a:fillRect/>
                    </a:stretch>
                  </pic:blipFill>
                  <pic:spPr>
                    <a:xfrm>
                      <a:off x="0" y="0"/>
                      <a:ext cx="5274310" cy="5869501"/>
                    </a:xfrm>
                    <a:prstGeom prst="rect">
                      <a:avLst/>
                    </a:prstGeom>
                    <a:noFill/>
                    <a:ln w="9525">
                      <a:noFill/>
                      <a:miter lim="800000"/>
                      <a:headEnd/>
                      <a:tailEnd/>
                    </a:ln>
                  </pic:spPr>
                </pic:pic>
              </a:graphicData>
            </a:graphic>
          </wp:inline>
        </w:drawing>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生产周期：全年连续生产</w:t>
      </w:r>
    </w:p>
    <w:p>
      <w:pPr>
        <w:ind w:firstLine="555"/>
        <w:rPr>
          <w:rFonts w:ascii="宋体" w:hAnsi="宋体" w:eastAsia="宋体" w:cs="宋体-PUA"/>
          <w:sz w:val="28"/>
          <w:szCs w:val="28"/>
        </w:rPr>
      </w:pPr>
      <w:r>
        <w:rPr>
          <w:rFonts w:hint="eastAsia" w:ascii="宋体" w:hAnsi="宋体" w:eastAsia="宋体" w:cs="宋体-PUA"/>
          <w:sz w:val="28"/>
          <w:szCs w:val="28"/>
        </w:rPr>
        <w:t>联系方式：0459-69122</w:t>
      </w:r>
      <w:r>
        <w:rPr>
          <w:rFonts w:hint="eastAsia" w:ascii="宋体" w:hAnsi="宋体" w:eastAsia="宋体" w:cs="宋体-PUA"/>
          <w:sz w:val="28"/>
          <w:szCs w:val="28"/>
          <w:lang w:val="en-US" w:eastAsia="zh-CN"/>
        </w:rPr>
        <w:t>71</w:t>
      </w:r>
      <w:r>
        <w:rPr>
          <w:rFonts w:hint="eastAsia" w:ascii="宋体" w:hAnsi="宋体" w:eastAsia="宋体" w:cs="宋体-PUA"/>
          <w:sz w:val="28"/>
          <w:szCs w:val="28"/>
        </w:rPr>
        <w:t xml:space="preserve">   手机：1</w:t>
      </w:r>
      <w:r>
        <w:rPr>
          <w:rFonts w:hint="eastAsia" w:ascii="宋体" w:hAnsi="宋体" w:eastAsia="宋体" w:cs="宋体-PUA"/>
          <w:sz w:val="28"/>
          <w:szCs w:val="28"/>
          <w:lang w:val="en-US" w:eastAsia="zh-CN"/>
        </w:rPr>
        <w:t>7745571529</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委托监测机构：</w:t>
      </w:r>
      <w:r>
        <w:rPr>
          <w:rFonts w:ascii="宋体" w:hAnsi="宋体" w:eastAsia="宋体" w:cs="宋体-PUA"/>
          <w:sz w:val="28"/>
          <w:szCs w:val="28"/>
        </w:rPr>
        <w:t xml:space="preserve"> </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（二）生产工艺及产排污情况</w:t>
      </w:r>
    </w:p>
    <w:p>
      <w:pPr>
        <w:spacing w:line="500" w:lineRule="exact"/>
        <w:ind w:firstLine="560" w:firstLineChars="200"/>
        <w:jc w:val="left"/>
        <w:rPr>
          <w:rFonts w:ascii="宋体" w:hAnsi="宋体" w:eastAsia="宋体" w:cs="Arial"/>
          <w:kern w:val="0"/>
          <w:sz w:val="28"/>
          <w:szCs w:val="28"/>
        </w:rPr>
      </w:pPr>
      <w:r>
        <w:rPr>
          <w:rFonts w:hint="eastAsia" w:ascii="宋体" w:hAnsi="宋体" w:eastAsia="宋体"/>
          <w:sz w:val="28"/>
          <w:szCs w:val="28"/>
        </w:rPr>
        <w:t>1、主要工程组成、主要原料及产品</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主要工程组成：共二台机组，一台为5号机组，容量1×200MW超高压，另一台为6号机组，容量为1×330MW亚临界；燃料为煤、凝汽机组。</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主要原料及产品：煤、电</w:t>
      </w:r>
    </w:p>
    <w:p>
      <w:pPr>
        <w:spacing w:line="500" w:lineRule="exact"/>
        <w:ind w:firstLine="560" w:firstLineChars="200"/>
        <w:rPr>
          <w:rFonts w:hint="eastAsia" w:ascii="宋体" w:hAnsi="宋体" w:eastAsia="宋体"/>
          <w:sz w:val="28"/>
          <w:szCs w:val="28"/>
          <w:lang w:eastAsia="zh-CN"/>
        </w:rPr>
      </w:pPr>
      <w:r>
        <w:rPr>
          <w:rFonts w:hint="eastAsia" w:ascii="宋体" w:hAnsi="宋体" w:eastAsia="宋体" w:cs="Arial"/>
          <w:kern w:val="0"/>
          <w:sz w:val="28"/>
          <w:szCs w:val="28"/>
        </w:rPr>
        <w:t>2、</w:t>
      </w:r>
      <w:r>
        <w:rPr>
          <w:rFonts w:hint="eastAsia" w:ascii="宋体" w:hAnsi="宋体" w:eastAsia="宋体"/>
          <w:sz w:val="28"/>
          <w:szCs w:val="28"/>
        </w:rPr>
        <w:t>生产工艺</w:t>
      </w:r>
      <w:r>
        <w:rPr>
          <w:rFonts w:hint="eastAsia" w:ascii="宋体" w:hAnsi="宋体" w:eastAsia="宋体"/>
          <w:sz w:val="28"/>
          <w:szCs w:val="28"/>
          <w:lang w:eastAsia="zh-CN"/>
        </w:rPr>
        <w:t>流程</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工艺流程（工艺流程图见图表三）：火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渣系统进行综合利用或送至贮灰场；生产过程中产生的废水分别采取相应的措施处理，并回收重复利用。</w:t>
      </w:r>
    </w:p>
    <w:p>
      <w:pPr>
        <w:rPr>
          <w:sz w:val="28"/>
          <w:szCs w:val="28"/>
        </w:rPr>
      </w:pPr>
    </w:p>
    <w:p>
      <w:r>
        <w:drawing>
          <wp:inline distT="0" distB="0" distL="0" distR="0">
            <wp:extent cx="5274310" cy="3813175"/>
            <wp:effectExtent l="19050" t="0" r="2540" b="0"/>
            <wp:docPr id="4" name="图片 4" descr="C:\Users\Administrator\Desktop\市环保局\张莹\在线监测设备验收（#6炉净烟）\新华电厂6号机组净烟验收需要材料\工艺流程图（带脱硫脱硝湿电）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市环保局\张莹\在线监测设备验收（#6炉净烟）\新华电厂6号机组净烟验收需要材料\工艺流程图（带脱硫脱硝湿电）2015.9.JPG"/>
                    <pic:cNvPicPr>
                      <a:picLocks noChangeAspect="1" noChangeArrowheads="1"/>
                    </pic:cNvPicPr>
                  </pic:nvPicPr>
                  <pic:blipFill>
                    <a:blip r:embed="rId6" cstate="print"/>
                    <a:srcRect/>
                    <a:stretch>
                      <a:fillRect/>
                    </a:stretch>
                  </pic:blipFill>
                  <pic:spPr>
                    <a:xfrm>
                      <a:off x="0" y="0"/>
                      <a:ext cx="5274310" cy="3813351"/>
                    </a:xfrm>
                    <a:prstGeom prst="rect">
                      <a:avLst/>
                    </a:prstGeom>
                    <a:noFill/>
                    <a:ln w="9525">
                      <a:noFill/>
                      <a:miter lim="800000"/>
                      <a:headEnd/>
                      <a:tailEnd/>
                    </a:ln>
                  </pic:spPr>
                </pic:pic>
              </a:graphicData>
            </a:graphic>
          </wp:inline>
        </w:drawing>
      </w:r>
    </w:p>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污染处理设施名称及工艺流程：</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废气处理：</w:t>
      </w:r>
    </w:p>
    <w:p>
      <w:pPr>
        <w:spacing w:line="540" w:lineRule="exact"/>
        <w:ind w:firstLine="560" w:firstLineChars="200"/>
        <w:jc w:val="left"/>
        <w:rPr>
          <w:rFonts w:ascii="宋体" w:hAnsi="宋体" w:eastAsia="宋体" w:cs="宋体-PUA"/>
          <w:sz w:val="28"/>
          <w:szCs w:val="28"/>
        </w:rPr>
      </w:pPr>
      <w:r>
        <w:rPr>
          <w:rFonts w:hint="eastAsia" w:ascii="宋体" w:hAnsi="宋体" w:eastAsia="宋体" w:cs="宋体-PUA"/>
          <w:sz w:val="28"/>
          <w:szCs w:val="28"/>
        </w:rPr>
        <w:t>5号机组的废气主要是燃煤在锅炉内燃烧产生的烟气，采用低氮燃烧+SCR技术，降低NOx浓度，经设计除尘效率大于99.9%的电袋复合除尘器（1电场区+2袋区）处理后，通过采用石灰石-石膏湿法脱硫系统来降低SO</w:t>
      </w:r>
      <w:r>
        <w:rPr>
          <w:rFonts w:hint="eastAsia" w:ascii="宋体" w:hAnsi="宋体" w:eastAsia="宋体" w:cs="宋体-PUA"/>
          <w:sz w:val="28"/>
          <w:szCs w:val="28"/>
          <w:vertAlign w:val="subscript"/>
        </w:rPr>
        <w:t>2</w:t>
      </w:r>
      <w:r>
        <w:rPr>
          <w:rFonts w:hint="eastAsia" w:ascii="宋体" w:hAnsi="宋体" w:eastAsia="宋体" w:cs="宋体-PUA"/>
          <w:sz w:val="28"/>
          <w:szCs w:val="28"/>
        </w:rPr>
        <w:t>浓度，最后通过一座高度123m，出口直径4.5m的烟囱排入大气；6号机组的烟气主要是燃煤在锅炉内燃烧产生的烟气，采用低氮燃烧+SCR技术，降低NOx浓度，经设计除尘效率大于99.7%的静电除尘器处理后，通过采用石灰石-石膏湿法脱硫系统来降低SO</w:t>
      </w:r>
      <w:r>
        <w:rPr>
          <w:rFonts w:hint="eastAsia" w:ascii="宋体" w:hAnsi="宋体" w:eastAsia="宋体" w:cs="宋体-PUA"/>
          <w:sz w:val="28"/>
          <w:szCs w:val="28"/>
          <w:vertAlign w:val="subscript"/>
        </w:rPr>
        <w:t>2</w:t>
      </w:r>
      <w:r>
        <w:rPr>
          <w:rFonts w:hint="eastAsia" w:ascii="宋体" w:hAnsi="宋体" w:eastAsia="宋体" w:cs="宋体-PUA"/>
          <w:sz w:val="28"/>
          <w:szCs w:val="28"/>
        </w:rPr>
        <w:t>浓度，经脱硫出口安装除尘效率大于80%的湿式电除尘降低烟气中颗粒物浓度，最后通过一座高度183m，出口直径5m的烟囱排入大气。</w:t>
      </w:r>
    </w:p>
    <w:p>
      <w:pPr>
        <w:spacing w:line="540" w:lineRule="exact"/>
        <w:jc w:val="left"/>
        <w:rPr>
          <w:rFonts w:ascii="宋体" w:hAnsi="宋体" w:eastAsia="宋体" w:cs="宋体-PUA"/>
          <w:sz w:val="28"/>
          <w:szCs w:val="28"/>
        </w:rPr>
      </w:pPr>
    </w:p>
    <w:p>
      <w:pPr>
        <w:spacing w:line="360" w:lineRule="auto"/>
        <w:jc w:val="left"/>
        <w:rPr>
          <w:rFonts w:ascii="宋体" w:hAnsi="宋体" w:cs="宋体-PUA"/>
        </w:rPr>
      </w:pPr>
      <w:r>
        <w:rPr>
          <w:rFonts w:hint="eastAsia" w:ascii="宋体" w:hAnsi="宋体" w:cs="宋体-PUA"/>
        </w:rPr>
        <w:object>
          <v:shape id="_x0000_i1025" o:spt="75" type="#_x0000_t75" style="height:424.5pt;width:433.5pt;" o:ole="t" filled="f" o:preferrelative="t" stroked="f" coordsize="21600,21600">
            <v:path/>
            <v:fill on="f" focussize="0,0"/>
            <v:stroke on="f" joinstyle="miter"/>
            <v:imagedata r:id="rId8" o:title=""/>
            <o:lock v:ext="edit" aspectratio="t"/>
            <w10:wrap type="none"/>
            <w10:anchorlock/>
          </v:shape>
          <o:OLEObject Type="Embed" ProgID="AutoCAD.Drawing.17" ShapeID="_x0000_i1025" DrawAspect="Content" ObjectID="_1468075725" r:id="rId7">
            <o:LockedField>false</o:LockedField>
          </o:OLEObject>
        </w:object>
      </w:r>
    </w:p>
    <w:p>
      <w:pPr>
        <w:spacing w:line="540" w:lineRule="exact"/>
        <w:jc w:val="left"/>
        <w:rPr>
          <w:rFonts w:ascii="宋体" w:hAnsi="宋体" w:eastAsia="宋体" w:cs="宋体-PUA"/>
          <w:sz w:val="28"/>
          <w:szCs w:val="32"/>
        </w:rPr>
      </w:pPr>
      <w:r>
        <w:rPr>
          <w:rFonts w:hint="eastAsia" w:ascii="宋体" w:hAnsi="宋体" w:cs="宋体-PUA"/>
          <w:sz w:val="32"/>
          <w:szCs w:val="32"/>
        </w:rPr>
        <w:t xml:space="preserve">  </w:t>
      </w:r>
      <w:r>
        <w:rPr>
          <w:rFonts w:hint="eastAsia" w:ascii="宋体" w:hAnsi="宋体" w:eastAsia="宋体" w:cs="宋体-PUA"/>
          <w:sz w:val="28"/>
          <w:szCs w:val="32"/>
        </w:rPr>
        <w:t xml:space="preserve">  废水处理：我公司建设有污水处理站，厂区生活污水和工业生产废水经处理后全部回收重复利用，达到废水零排放。</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1、生活污水处理系统</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电厂的生活污水处理工艺采用湍流凝聚接触絮凝沉淀法，处理能力为7200m</w:t>
      </w:r>
      <w:r>
        <w:rPr>
          <w:rFonts w:hint="eastAsia" w:ascii="宋体" w:hAnsi="宋体" w:eastAsia="宋体" w:cs="宋体-PUA"/>
          <w:sz w:val="28"/>
          <w:szCs w:val="32"/>
          <w:vertAlign w:val="superscript"/>
        </w:rPr>
        <w:t>3</w:t>
      </w:r>
      <w:r>
        <w:rPr>
          <w:rFonts w:hint="eastAsia" w:ascii="宋体" w:hAnsi="宋体" w:eastAsia="宋体" w:cs="宋体-PUA"/>
          <w:sz w:val="28"/>
          <w:szCs w:val="32"/>
        </w:rPr>
        <w:t>/d，用于处理家属区、商服区生活污水。其流程为：</w:t>
      </w:r>
    </w:p>
    <w:p>
      <w:pPr>
        <w:spacing w:line="540" w:lineRule="exact"/>
        <w:ind w:firstLine="560" w:firstLineChars="200"/>
        <w:jc w:val="left"/>
        <w:rPr>
          <w:rFonts w:ascii="宋体" w:hAnsi="宋体" w:eastAsia="宋体" w:cs="宋体-PUA"/>
          <w:sz w:val="28"/>
          <w:szCs w:val="32"/>
        </w:rPr>
      </w:pPr>
    </w:p>
    <w:p>
      <w:pPr>
        <w:tabs>
          <w:tab w:val="left" w:pos="567"/>
        </w:tabs>
        <w:rPr>
          <w:rFonts w:ascii="宋体" w:hAnsi="宋体" w:cs="宋体-PUA"/>
          <w:sz w:val="28"/>
        </w:rPr>
      </w:pPr>
      <w:r>
        <w:rPr>
          <w:rFonts w:ascii="宋体" w:hAnsi="宋体"/>
          <w:szCs w:val="21"/>
        </w:rPr>
        <w:pict>
          <v:shape id="_x0000_i1026" o:spt="75" type="#_x0000_t75" style="height:168pt;width:433.5pt;" filled="f" o:preferrelative="f" stroked="f" coordsize="21600,21600">
            <v:path/>
            <v:fill on="f" focussize="0,0"/>
            <v:stroke on="f" joinstyle="miter"/>
            <v:imagedata r:id="rId9" gain="2147483647f" o:title=""/>
            <o:lock v:ext="edit" aspectratio="t"/>
            <w10:wrap type="none"/>
            <w10:anchorlock/>
          </v:shape>
        </w:pict>
      </w:r>
      <w:r>
        <w:rPr>
          <w:rFonts w:hint="eastAsia" w:ascii="宋体" w:hAnsi="宋体" w:cs="宋体-PUA"/>
          <w:sz w:val="28"/>
        </w:rPr>
        <w:t xml:space="preserve">    </w:t>
      </w:r>
    </w:p>
    <w:p>
      <w:pPr>
        <w:tabs>
          <w:tab w:val="left" w:pos="567"/>
        </w:tabs>
        <w:ind w:firstLine="560" w:firstLineChars="200"/>
        <w:rPr>
          <w:rFonts w:ascii="宋体" w:hAnsi="宋体" w:eastAsia="宋体" w:cs="宋体-PUA"/>
          <w:sz w:val="28"/>
          <w:szCs w:val="32"/>
        </w:rPr>
      </w:pPr>
      <w:r>
        <w:rPr>
          <w:rFonts w:hint="eastAsia" w:ascii="宋体" w:hAnsi="宋体" w:eastAsia="宋体" w:cs="宋体-PUA"/>
          <w:sz w:val="28"/>
          <w:szCs w:val="32"/>
        </w:rPr>
        <w:t>经污水处理装置处理后，进行加氯消毒后用于输煤、除灰系统冲洗除尘用水补充水。</w:t>
      </w:r>
    </w:p>
    <w:p>
      <w:pPr>
        <w:tabs>
          <w:tab w:val="left" w:pos="567"/>
        </w:tabs>
        <w:ind w:firstLine="560" w:firstLineChars="200"/>
        <w:rPr>
          <w:rFonts w:ascii="宋体" w:hAnsi="宋体" w:eastAsia="宋体" w:cs="宋体-PUA"/>
          <w:sz w:val="28"/>
          <w:szCs w:val="32"/>
        </w:rPr>
      </w:pPr>
      <w:r>
        <w:rPr>
          <w:rFonts w:hint="eastAsia" w:ascii="宋体" w:hAnsi="宋体" w:eastAsia="宋体" w:cs="宋体-PUA"/>
          <w:sz w:val="28"/>
          <w:szCs w:val="32"/>
        </w:rPr>
        <w:t>处理后的生活污水可达到污水综合排放一级标准。</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2、工业污水处理系统</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 xml:space="preserve">  本期工程工业污水采用处理能力为7200m</w:t>
      </w:r>
      <w:r>
        <w:rPr>
          <w:rFonts w:hint="eastAsia" w:ascii="宋体" w:hAnsi="宋体" w:eastAsia="宋体" w:cs="宋体-PUA"/>
          <w:sz w:val="28"/>
          <w:szCs w:val="32"/>
          <w:vertAlign w:val="superscript"/>
        </w:rPr>
        <w:t>3</w:t>
      </w:r>
      <w:r>
        <w:rPr>
          <w:rFonts w:hint="eastAsia" w:ascii="宋体" w:hAnsi="宋体" w:eastAsia="宋体" w:cs="宋体-PUA"/>
          <w:sz w:val="28"/>
          <w:szCs w:val="32"/>
        </w:rPr>
        <w:t>/d处理设备，处理工艺同生活污水。用于处理厂区生活污水、化学过滤器反冲洗水、主厂房杂用废水等，处理后回用于输煤、除灰系统冲洗除尘用水补充水。</w:t>
      </w:r>
    </w:p>
    <w:p>
      <w:pPr>
        <w:spacing w:line="540" w:lineRule="exact"/>
        <w:jc w:val="left"/>
        <w:rPr>
          <w:rFonts w:ascii="宋体" w:hAnsi="宋体" w:eastAsia="宋体" w:cs="宋体-PUA"/>
          <w:sz w:val="28"/>
          <w:szCs w:val="32"/>
        </w:rPr>
      </w:pPr>
      <w:r>
        <w:rPr>
          <w:rFonts w:hint="eastAsia" w:ascii="宋体" w:hAnsi="宋体" w:eastAsia="宋体" w:cs="宋体-PUA"/>
          <w:sz w:val="28"/>
          <w:szCs w:val="32"/>
        </w:rPr>
        <w:t xml:space="preserve">      工业废水处理工艺流程：</w:t>
      </w:r>
    </w:p>
    <w:p>
      <w:pPr>
        <w:adjustRightInd w:val="0"/>
        <w:snapToGrid w:val="0"/>
        <w:spacing w:line="360" w:lineRule="auto"/>
        <w:rPr>
          <w:rFonts w:ascii="宋体" w:hAnsi="宋体" w:eastAsia="宋体" w:cs="宋体-PUA"/>
          <w:sz w:val="22"/>
        </w:rPr>
      </w:pPr>
      <w:r>
        <w:rPr>
          <w:rFonts w:hint="eastAsia" w:ascii="宋体" w:hAnsi="宋体" w:cs="宋体-PUA"/>
          <w:sz w:val="24"/>
        </w:rPr>
        <w:t xml:space="preserve"> </w:t>
      </w:r>
      <w:r>
        <w:rPr>
          <w:rFonts w:hint="eastAsia" w:ascii="宋体" w:hAnsi="宋体" w:cs="宋体-PUA"/>
          <w:sz w:val="24"/>
        </w:rPr>
        <w:drawing>
          <wp:inline distT="0" distB="0" distL="0" distR="0">
            <wp:extent cx="5181600" cy="29527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rcRect/>
                    <a:stretch>
                      <a:fillRect/>
                    </a:stretch>
                  </pic:blipFill>
                  <pic:spPr>
                    <a:xfrm>
                      <a:off x="0" y="0"/>
                      <a:ext cx="5181600" cy="2952750"/>
                    </a:xfrm>
                    <a:prstGeom prst="rect">
                      <a:avLst/>
                    </a:prstGeom>
                    <a:noFill/>
                    <a:ln w="9525">
                      <a:noFill/>
                      <a:miter lim="800000"/>
                      <a:headEnd/>
                      <a:tailEnd/>
                    </a:ln>
                  </pic:spPr>
                </pic:pic>
              </a:graphicData>
            </a:graphic>
          </wp:inline>
        </w:drawing>
      </w:r>
      <w:r>
        <w:rPr>
          <w:rFonts w:hint="eastAsia" w:ascii="宋体" w:hAnsi="宋体" w:eastAsia="宋体" w:cs="宋体-PUA"/>
          <w:sz w:val="28"/>
          <w:szCs w:val="32"/>
        </w:rPr>
        <w:t>处理后的工业废水可满足电厂杂用水水质要求。</w:t>
      </w:r>
    </w:p>
    <w:p>
      <w:pPr>
        <w:spacing w:line="540" w:lineRule="exact"/>
        <w:ind w:firstLine="560" w:firstLineChars="200"/>
        <w:jc w:val="left"/>
        <w:rPr>
          <w:rFonts w:hint="eastAsia" w:ascii="宋体" w:hAnsi="宋体" w:eastAsia="宋体" w:cs="宋体-PUA"/>
          <w:sz w:val="28"/>
          <w:szCs w:val="32"/>
        </w:rPr>
      </w:pPr>
      <w:r>
        <w:rPr>
          <w:rFonts w:hint="eastAsia" w:ascii="宋体" w:hAnsi="宋体" w:eastAsia="宋体" w:cs="宋体-PUA"/>
          <w:sz w:val="28"/>
          <w:szCs w:val="32"/>
        </w:rPr>
        <w:t>排放口名称：</w:t>
      </w:r>
      <w:r>
        <w:rPr>
          <w:rFonts w:hint="eastAsia" w:ascii="宋体" w:hAnsi="宋体" w:eastAsia="宋体" w:cs="宋体-PUA"/>
          <w:sz w:val="28"/>
          <w:szCs w:val="32"/>
          <w:lang w:val="en-US" w:eastAsia="zh-CN"/>
        </w:rPr>
        <w:t>5号机组</w:t>
      </w:r>
      <w:r>
        <w:rPr>
          <w:rFonts w:hint="eastAsia" w:ascii="宋体" w:hAnsi="宋体" w:eastAsia="宋体" w:cs="宋体-PUA"/>
          <w:sz w:val="28"/>
          <w:szCs w:val="32"/>
        </w:rPr>
        <w:t>烟囱，位于东经：124°3</w:t>
      </w:r>
      <w:r>
        <w:rPr>
          <w:rFonts w:hint="eastAsia" w:ascii="宋体" w:hAnsi="宋体" w:eastAsia="宋体" w:cs="宋体-PUA"/>
          <w:sz w:val="28"/>
          <w:szCs w:val="32"/>
          <w:lang w:val="en-US" w:eastAsia="zh-CN"/>
        </w:rPr>
        <w:t>6</w:t>
      </w:r>
      <w:r>
        <w:rPr>
          <w:rFonts w:hint="eastAsia" w:ascii="宋体" w:hAnsi="宋体" w:eastAsia="宋体" w:cs="宋体-PUA"/>
          <w:sz w:val="28"/>
          <w:szCs w:val="32"/>
        </w:rPr>
        <w:t>ˊ</w:t>
      </w:r>
      <w:r>
        <w:rPr>
          <w:rFonts w:hint="eastAsia" w:ascii="宋体" w:hAnsi="宋体" w:eastAsia="宋体" w:cs="宋体-PUA"/>
          <w:sz w:val="28"/>
          <w:szCs w:val="32"/>
          <w:lang w:val="en-US" w:eastAsia="zh-CN"/>
        </w:rPr>
        <w:t>1.19</w:t>
      </w:r>
      <w:r>
        <w:rPr>
          <w:rFonts w:hint="eastAsia" w:ascii="宋体" w:hAnsi="宋体" w:eastAsia="宋体" w:cs="宋体-PUA"/>
          <w:sz w:val="28"/>
          <w:szCs w:val="32"/>
        </w:rPr>
        <w:t>" ；北纬：46°8ˊ</w:t>
      </w:r>
      <w:r>
        <w:rPr>
          <w:rFonts w:hint="eastAsia" w:ascii="宋体" w:hAnsi="宋体" w:eastAsia="宋体" w:cs="宋体-PUA"/>
          <w:sz w:val="28"/>
          <w:szCs w:val="32"/>
          <w:lang w:val="en-US" w:eastAsia="zh-CN"/>
        </w:rPr>
        <w:t>7.76</w:t>
      </w:r>
      <w:r>
        <w:rPr>
          <w:rFonts w:hint="eastAsia" w:ascii="宋体" w:hAnsi="宋体" w:eastAsia="宋体" w:cs="宋体-PUA"/>
          <w:sz w:val="28"/>
          <w:szCs w:val="32"/>
        </w:rPr>
        <w:t>"，华能新华发电有限责任公司院内，标示牌位于烟囱底部醒目位置</w:t>
      </w:r>
      <w:r>
        <w:rPr>
          <w:rFonts w:hint="eastAsia" w:ascii="宋体" w:hAnsi="宋体" w:eastAsia="宋体" w:cs="宋体-PUA"/>
          <w:sz w:val="28"/>
          <w:szCs w:val="32"/>
          <w:lang w:eastAsia="zh-CN"/>
        </w:rPr>
        <w:t>；</w:t>
      </w:r>
      <w:r>
        <w:rPr>
          <w:rFonts w:hint="eastAsia" w:ascii="宋体" w:hAnsi="宋体" w:eastAsia="宋体" w:cs="宋体-PUA"/>
          <w:sz w:val="28"/>
          <w:szCs w:val="32"/>
          <w:lang w:val="en-US" w:eastAsia="zh-CN"/>
        </w:rPr>
        <w:t>6号机组</w:t>
      </w:r>
      <w:r>
        <w:rPr>
          <w:rFonts w:hint="eastAsia" w:ascii="宋体" w:hAnsi="宋体" w:eastAsia="宋体" w:cs="宋体-PUA"/>
          <w:sz w:val="28"/>
          <w:szCs w:val="32"/>
        </w:rPr>
        <w:t>烟囱，位于东经：124°3</w:t>
      </w:r>
      <w:r>
        <w:rPr>
          <w:rFonts w:hint="eastAsia" w:ascii="宋体" w:hAnsi="宋体" w:eastAsia="宋体" w:cs="宋体-PUA"/>
          <w:sz w:val="28"/>
          <w:szCs w:val="32"/>
          <w:lang w:val="en-US" w:eastAsia="zh-CN"/>
        </w:rPr>
        <w:t>6</w:t>
      </w:r>
      <w:r>
        <w:rPr>
          <w:rFonts w:hint="eastAsia" w:ascii="宋体" w:hAnsi="宋体" w:eastAsia="宋体" w:cs="宋体-PUA"/>
          <w:sz w:val="28"/>
          <w:szCs w:val="32"/>
        </w:rPr>
        <w:t>ˊ</w:t>
      </w:r>
      <w:r>
        <w:rPr>
          <w:rFonts w:hint="eastAsia" w:ascii="宋体" w:hAnsi="宋体" w:eastAsia="宋体" w:cs="宋体-PUA"/>
          <w:sz w:val="28"/>
          <w:szCs w:val="32"/>
          <w:lang w:val="en-US" w:eastAsia="zh-CN"/>
        </w:rPr>
        <w:t>7.42</w:t>
      </w:r>
      <w:r>
        <w:rPr>
          <w:rFonts w:hint="eastAsia" w:ascii="宋体" w:hAnsi="宋体" w:eastAsia="宋体" w:cs="宋体-PUA"/>
          <w:sz w:val="28"/>
          <w:szCs w:val="32"/>
        </w:rPr>
        <w:t>" ；北纬：46°8ˊ</w:t>
      </w:r>
      <w:r>
        <w:rPr>
          <w:rFonts w:hint="eastAsia" w:ascii="宋体" w:hAnsi="宋体" w:eastAsia="宋体" w:cs="宋体-PUA"/>
          <w:sz w:val="28"/>
          <w:szCs w:val="32"/>
          <w:lang w:val="en-US" w:eastAsia="zh-CN"/>
        </w:rPr>
        <w:t>9.20</w:t>
      </w:r>
      <w:r>
        <w:rPr>
          <w:rFonts w:hint="eastAsia" w:ascii="宋体" w:hAnsi="宋体" w:eastAsia="宋体" w:cs="宋体-PUA"/>
          <w:sz w:val="28"/>
          <w:szCs w:val="32"/>
        </w:rPr>
        <w:t>"，华能新华发电有限责任公司院内，标示牌位于烟囱底部醒目位置。</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自动监测设备名称：烟气连续监测系统CEMS，5号机组</w:t>
      </w:r>
      <w:r>
        <w:rPr>
          <w:rFonts w:hint="eastAsia" w:ascii="宋体" w:hAnsi="宋体" w:eastAsia="宋体" w:cs="宋体-PUA"/>
          <w:sz w:val="28"/>
          <w:szCs w:val="28"/>
        </w:rPr>
        <w:t>CEMS小间</w:t>
      </w:r>
      <w:r>
        <w:rPr>
          <w:rFonts w:hint="eastAsia" w:ascii="宋体" w:hAnsi="宋体" w:eastAsia="宋体" w:cs="宋体-PUA"/>
          <w:sz w:val="28"/>
          <w:szCs w:val="32"/>
        </w:rPr>
        <w:t>位于吸收塔厂房内独立控制室，6号机组</w:t>
      </w:r>
      <w:r>
        <w:rPr>
          <w:rFonts w:hint="eastAsia" w:ascii="宋体" w:hAnsi="宋体" w:eastAsia="宋体" w:cs="宋体-PUA"/>
          <w:sz w:val="28"/>
          <w:szCs w:val="28"/>
        </w:rPr>
        <w:t>CEMS小间</w:t>
      </w:r>
      <w:r>
        <w:rPr>
          <w:rFonts w:hint="eastAsia" w:ascii="宋体" w:hAnsi="宋体" w:eastAsia="宋体" w:cs="宋体-PUA"/>
          <w:sz w:val="28"/>
          <w:szCs w:val="32"/>
        </w:rPr>
        <w:t>位于吸收塔旁边独立控制室。</w:t>
      </w:r>
    </w:p>
    <w:p>
      <w:pPr>
        <w:spacing w:line="540" w:lineRule="exact"/>
        <w:ind w:firstLine="562" w:firstLineChars="200"/>
        <w:jc w:val="left"/>
        <w:rPr>
          <w:rFonts w:ascii="宋体" w:hAnsi="宋体" w:eastAsia="宋体" w:cs="宋体-PUA"/>
          <w:b/>
          <w:sz w:val="28"/>
          <w:szCs w:val="32"/>
        </w:rPr>
      </w:pPr>
      <w:r>
        <w:rPr>
          <w:rFonts w:hint="eastAsia" w:ascii="宋体" w:hAnsi="宋体" w:eastAsia="宋体" w:cs="宋体-PUA"/>
          <w:b/>
          <w:sz w:val="28"/>
          <w:szCs w:val="32"/>
        </w:rPr>
        <w:t>二、污染物排放自监测</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（一）大气污染物排放监测</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1、监测点位</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28"/>
        </w:rPr>
        <w:t>5号机组安装在吸收塔入口和出口水平烟道中间位置</w:t>
      </w:r>
      <w:r>
        <w:rPr>
          <w:rFonts w:hint="eastAsia" w:ascii="宋体" w:hAnsi="宋体" w:eastAsia="宋体" w:cs="宋体-PUA"/>
          <w:sz w:val="28"/>
          <w:szCs w:val="32"/>
        </w:rPr>
        <w:t>烟道平稳</w:t>
      </w:r>
      <w:r>
        <w:rPr>
          <w:rFonts w:hint="eastAsia" w:ascii="宋体" w:hAnsi="宋体" w:eastAsia="宋体" w:cs="宋体-PUA"/>
          <w:sz w:val="28"/>
          <w:szCs w:val="28"/>
        </w:rPr>
        <w:t>处，共2点位；</w:t>
      </w:r>
      <w:r>
        <w:rPr>
          <w:rFonts w:hint="eastAsia" w:ascii="宋体" w:hAnsi="宋体" w:eastAsia="宋体" w:cs="宋体-PUA"/>
          <w:sz w:val="28"/>
          <w:szCs w:val="32"/>
        </w:rPr>
        <w:t>6号机组安装在吸收塔入口水平烟道和出口垂直烟道中间位置烟道平稳处，共2点位。</w:t>
      </w:r>
    </w:p>
    <w:p>
      <w:pPr>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2、监测指标</w:t>
      </w:r>
    </w:p>
    <w:p>
      <w:pPr>
        <w:spacing w:line="540" w:lineRule="exact"/>
        <w:ind w:firstLine="560" w:firstLineChars="200"/>
        <w:jc w:val="left"/>
        <w:rPr>
          <w:rFonts w:ascii="宋体" w:hAnsi="宋体" w:eastAsia="宋体" w:cs="宋体-PUA"/>
          <w:kern w:val="0"/>
          <w:sz w:val="28"/>
          <w:szCs w:val="28"/>
        </w:rPr>
      </w:pPr>
      <w:r>
        <w:rPr>
          <w:rFonts w:hint="eastAsia" w:ascii="宋体" w:hAnsi="宋体" w:eastAsia="宋体" w:cs="宋体-PUA"/>
          <w:kern w:val="0"/>
          <w:sz w:val="28"/>
          <w:szCs w:val="28"/>
        </w:rPr>
        <w:t>二氧化硫、氮氧化物、烟尘（或颗粒物）及特征污染物。</w:t>
      </w:r>
    </w:p>
    <w:p>
      <w:pPr>
        <w:spacing w:line="540" w:lineRule="exact"/>
        <w:ind w:firstLine="560" w:firstLineChars="200"/>
        <w:jc w:val="left"/>
        <w:rPr>
          <w:rFonts w:ascii="宋体" w:hAnsi="宋体" w:eastAsia="宋体" w:cs="宋体-PUA"/>
          <w:color w:val="FF0000"/>
          <w:kern w:val="0"/>
          <w:sz w:val="28"/>
          <w:szCs w:val="32"/>
        </w:rPr>
      </w:pPr>
      <w:r>
        <w:rPr>
          <w:rFonts w:hint="eastAsia" w:ascii="宋体" w:hAnsi="宋体" w:eastAsia="宋体" w:cs="宋体-PUA"/>
          <w:kern w:val="0"/>
          <w:sz w:val="28"/>
          <w:szCs w:val="32"/>
        </w:rPr>
        <w:t xml:space="preserve">3、监测频次  </w:t>
      </w:r>
    </w:p>
    <w:p>
      <w:pPr>
        <w:snapToGrid w:val="0"/>
        <w:spacing w:line="540" w:lineRule="exact"/>
        <w:ind w:firstLine="560" w:firstLineChars="200"/>
        <w:jc w:val="left"/>
        <w:rPr>
          <w:rFonts w:ascii="宋体" w:hAnsi="宋体" w:eastAsia="宋体" w:cs="宋体-PUA"/>
          <w:kern w:val="0"/>
          <w:sz w:val="28"/>
          <w:szCs w:val="28"/>
        </w:rPr>
      </w:pPr>
      <w:r>
        <w:rPr>
          <w:rFonts w:hint="eastAsia" w:ascii="宋体" w:hAnsi="宋体" w:eastAsia="宋体" w:cs="宋体-PUA"/>
          <w:kern w:val="0"/>
          <w:sz w:val="28"/>
          <w:szCs w:val="32"/>
        </w:rPr>
        <w:t>自动监测：厂区5、6号机组各2个点位。二氧化硫、氮氧化物、烟尘、流量全天实时监测。</w:t>
      </w:r>
      <w:r>
        <w:rPr>
          <w:rFonts w:hint="eastAsia" w:ascii="宋体" w:hAnsi="宋体" w:eastAsia="宋体" w:cs="宋体-PUA"/>
          <w:kern w:val="0"/>
          <w:sz w:val="28"/>
          <w:szCs w:val="28"/>
        </w:rPr>
        <w:t>在线监测设备的监测数据与省、市环保部门联网，并且</w:t>
      </w:r>
      <w:r>
        <w:rPr>
          <w:rFonts w:hint="eastAsia" w:ascii="宋体" w:hAnsi="宋体" w:eastAsia="宋体" w:cs="宋体-PUA"/>
          <w:kern w:val="0"/>
          <w:sz w:val="28"/>
          <w:szCs w:val="28"/>
          <w:lang w:eastAsia="zh-CN"/>
        </w:rPr>
        <w:t>委托第三方检测机构</w:t>
      </w:r>
      <w:r>
        <w:rPr>
          <w:rFonts w:hint="eastAsia" w:ascii="宋体" w:hAnsi="宋体" w:eastAsia="宋体" w:cs="宋体-PUA"/>
          <w:kern w:val="0"/>
          <w:sz w:val="28"/>
          <w:szCs w:val="28"/>
        </w:rPr>
        <w:t>每季度进行一次比对监测。</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手工监测：上述</w:t>
      </w:r>
      <w:r>
        <w:rPr>
          <w:rFonts w:hint="eastAsia" w:ascii="宋体" w:hAnsi="宋体" w:eastAsia="宋体" w:cs="宋体-PUA"/>
          <w:kern w:val="0"/>
          <w:sz w:val="28"/>
          <w:szCs w:val="32"/>
          <w:lang w:eastAsia="zh-CN"/>
        </w:rPr>
        <w:t>排放口</w:t>
      </w:r>
      <w:r>
        <w:rPr>
          <w:rFonts w:hint="eastAsia" w:ascii="宋体" w:hAnsi="宋体" w:eastAsia="宋体" w:cs="宋体-PUA"/>
          <w:kern w:val="0"/>
          <w:sz w:val="28"/>
          <w:szCs w:val="32"/>
          <w:lang w:val="en-US" w:eastAsia="zh-CN"/>
        </w:rPr>
        <w:t>2</w:t>
      </w:r>
      <w:r>
        <w:rPr>
          <w:rFonts w:hint="eastAsia" w:ascii="宋体" w:hAnsi="宋体" w:eastAsia="宋体" w:cs="宋体-PUA"/>
          <w:kern w:val="0"/>
          <w:sz w:val="28"/>
          <w:szCs w:val="32"/>
        </w:rPr>
        <w:t>个点位，</w:t>
      </w:r>
      <w:r>
        <w:rPr>
          <w:rFonts w:hint="eastAsia" w:ascii="宋体" w:hAnsi="宋体" w:eastAsia="宋体" w:cs="宋体-PUA"/>
          <w:kern w:val="0"/>
          <w:sz w:val="28"/>
          <w:szCs w:val="32"/>
          <w:lang w:eastAsia="zh-CN"/>
        </w:rPr>
        <w:t>汞及其化合物、林格曼黑度</w:t>
      </w:r>
      <w:r>
        <w:rPr>
          <w:rFonts w:hint="eastAsia" w:ascii="宋体" w:hAnsi="宋体" w:eastAsia="宋体" w:cs="宋体-PUA"/>
          <w:kern w:val="0"/>
          <w:sz w:val="28"/>
          <w:szCs w:val="32"/>
        </w:rPr>
        <w:t>每季度</w:t>
      </w:r>
      <w:r>
        <w:rPr>
          <w:rFonts w:hint="eastAsia" w:ascii="宋体" w:hAnsi="宋体" w:eastAsia="宋体" w:cs="宋体-PUA"/>
          <w:kern w:val="0"/>
          <w:sz w:val="28"/>
          <w:szCs w:val="32"/>
          <w:lang w:eastAsia="zh-CN"/>
        </w:rPr>
        <w:t>委托第三方检测机构进行一次</w:t>
      </w:r>
      <w:r>
        <w:rPr>
          <w:rFonts w:hint="eastAsia" w:ascii="宋体" w:hAnsi="宋体" w:eastAsia="宋体" w:cs="宋体-PUA"/>
          <w:kern w:val="0"/>
          <w:sz w:val="28"/>
          <w:szCs w:val="32"/>
        </w:rPr>
        <w:t>监测。</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4、执行排放标准及其限值</w:t>
      </w:r>
    </w:p>
    <w:p>
      <w:pPr>
        <w:snapToGrid w:val="0"/>
        <w:spacing w:line="540" w:lineRule="exact"/>
        <w:ind w:right="31" w:rightChars="15" w:firstLine="560" w:firstLineChars="200"/>
        <w:jc w:val="left"/>
        <w:rPr>
          <w:rFonts w:ascii="宋体" w:hAnsi="宋体" w:eastAsia="宋体" w:cs="宋体-PUA"/>
          <w:color w:val="FF0000"/>
          <w:sz w:val="28"/>
          <w:szCs w:val="32"/>
        </w:rPr>
      </w:pPr>
      <w:r>
        <w:rPr>
          <w:rFonts w:hint="eastAsia" w:ascii="宋体" w:hAnsi="宋体" w:eastAsia="宋体" w:cs="宋体-PUA"/>
          <w:sz w:val="28"/>
          <w:szCs w:val="32"/>
        </w:rPr>
        <w:t>5</w:t>
      </w:r>
      <w:r>
        <w:rPr>
          <w:rFonts w:hint="eastAsia" w:ascii="宋体" w:hAnsi="宋体" w:eastAsia="宋体" w:cs="宋体-PUA"/>
          <w:sz w:val="28"/>
          <w:szCs w:val="32"/>
          <w:lang w:eastAsia="zh-CN"/>
        </w:rPr>
        <w:t>、</w:t>
      </w:r>
      <w:r>
        <w:rPr>
          <w:rFonts w:hint="eastAsia" w:ascii="宋体" w:hAnsi="宋体" w:eastAsia="宋体" w:cs="宋体-PUA"/>
          <w:sz w:val="28"/>
          <w:szCs w:val="32"/>
          <w:lang w:val="en-US" w:eastAsia="zh-CN"/>
        </w:rPr>
        <w:t>6</w:t>
      </w:r>
      <w:r>
        <w:rPr>
          <w:rFonts w:hint="eastAsia" w:ascii="宋体" w:hAnsi="宋体" w:eastAsia="宋体" w:cs="宋体-PUA"/>
          <w:sz w:val="28"/>
          <w:szCs w:val="32"/>
        </w:rPr>
        <w:t>号机组执行《火电厂大气污染物排放标准》（GB13223—2011），烟尘排放浓度控制在30mg/m</w:t>
      </w:r>
      <w:r>
        <w:rPr>
          <w:rFonts w:hint="eastAsia" w:ascii="宋体" w:hAnsi="宋体" w:eastAsia="宋体" w:cs="宋体-PUA"/>
          <w:sz w:val="28"/>
          <w:szCs w:val="32"/>
          <w:vertAlign w:val="superscript"/>
        </w:rPr>
        <w:t>3</w:t>
      </w:r>
      <w:r>
        <w:rPr>
          <w:rFonts w:hint="eastAsia" w:ascii="宋体" w:hAnsi="宋体" w:eastAsia="宋体" w:cs="宋体-PUA"/>
          <w:sz w:val="28"/>
          <w:szCs w:val="32"/>
        </w:rPr>
        <w:t>以内，二氧化硫的排放浓度控制在200mg/m</w:t>
      </w:r>
      <w:r>
        <w:rPr>
          <w:rFonts w:hint="eastAsia" w:ascii="宋体" w:hAnsi="宋体" w:eastAsia="宋体" w:cs="宋体-PUA"/>
          <w:sz w:val="28"/>
          <w:szCs w:val="32"/>
          <w:vertAlign w:val="superscript"/>
        </w:rPr>
        <w:t>3</w:t>
      </w:r>
      <w:r>
        <w:rPr>
          <w:rFonts w:hint="eastAsia" w:ascii="宋体" w:hAnsi="宋体" w:eastAsia="宋体" w:cs="宋体-PUA"/>
          <w:sz w:val="28"/>
          <w:szCs w:val="32"/>
        </w:rPr>
        <w:t>以内，NOx排放浓度控制在200mg/m</w:t>
      </w:r>
      <w:r>
        <w:rPr>
          <w:rFonts w:hint="eastAsia" w:ascii="宋体" w:hAnsi="宋体" w:eastAsia="宋体" w:cs="宋体-PUA"/>
          <w:sz w:val="28"/>
          <w:szCs w:val="32"/>
          <w:vertAlign w:val="superscript"/>
        </w:rPr>
        <w:t>3</w:t>
      </w:r>
      <w:r>
        <w:rPr>
          <w:rFonts w:hint="eastAsia" w:ascii="宋体" w:hAnsi="宋体" w:eastAsia="宋体" w:cs="宋体-PUA"/>
          <w:sz w:val="28"/>
          <w:szCs w:val="32"/>
        </w:rPr>
        <w:t>以内，</w:t>
      </w:r>
      <w:r>
        <w:rPr>
          <w:rFonts w:hint="eastAsia" w:ascii="宋体" w:hAnsi="宋体" w:eastAsia="宋体" w:cs="宋体-PUA"/>
          <w:kern w:val="0"/>
          <w:sz w:val="28"/>
          <w:szCs w:val="32"/>
        </w:rPr>
        <w:t>汞</w:t>
      </w:r>
      <w:r>
        <w:rPr>
          <w:rFonts w:hint="eastAsia" w:ascii="宋体" w:hAnsi="宋体" w:eastAsia="宋体" w:cs="宋体-PUA"/>
          <w:sz w:val="28"/>
          <w:szCs w:val="32"/>
        </w:rPr>
        <w:t>排放浓度控制在0.03mg/m</w:t>
      </w:r>
      <w:r>
        <w:rPr>
          <w:rFonts w:hint="eastAsia" w:ascii="宋体" w:hAnsi="宋体" w:eastAsia="宋体" w:cs="宋体-PUA"/>
          <w:sz w:val="28"/>
          <w:szCs w:val="32"/>
          <w:vertAlign w:val="superscript"/>
        </w:rPr>
        <w:t>3</w:t>
      </w:r>
      <w:r>
        <w:rPr>
          <w:rFonts w:hint="eastAsia" w:ascii="宋体" w:hAnsi="宋体" w:eastAsia="宋体" w:cs="宋体-PUA"/>
          <w:sz w:val="28"/>
          <w:szCs w:val="32"/>
        </w:rPr>
        <w:t>以内。</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 xml:space="preserve">5、监测方法和仪器    </w:t>
      </w:r>
    </w:p>
    <w:p>
      <w:pPr>
        <w:snapToGrid w:val="0"/>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按照环境保护部发布的国家环境监测技术规范和方法。</w:t>
      </w:r>
    </w:p>
    <w:p>
      <w:pPr>
        <w:snapToGrid w:val="0"/>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其中颗粒物：激光后散射法，仪器为在线粉尘烟度计；SO2：NDIR不分光红外法，仪器为</w:t>
      </w:r>
      <w:r>
        <w:rPr>
          <w:rFonts w:hint="eastAsia" w:ascii="宋体" w:hAnsi="宋体" w:eastAsia="宋体" w:cs="宋体-PUA"/>
          <w:sz w:val="28"/>
          <w:szCs w:val="28"/>
        </w:rPr>
        <w:t>二氧化硫检测仪</w:t>
      </w:r>
      <w:r>
        <w:rPr>
          <w:rFonts w:hint="eastAsia" w:ascii="宋体" w:hAnsi="宋体" w:eastAsia="宋体" w:cs="宋体-PUA"/>
          <w:sz w:val="28"/>
          <w:szCs w:val="32"/>
        </w:rPr>
        <w:t>； NO：NDIR不分光红外法，仪器为氮氧化物</w:t>
      </w:r>
      <w:r>
        <w:rPr>
          <w:rFonts w:hint="eastAsia" w:ascii="宋体" w:hAnsi="宋体" w:eastAsia="宋体" w:cs="宋体-PUA"/>
          <w:sz w:val="28"/>
          <w:szCs w:val="28"/>
        </w:rPr>
        <w:t>检测仪</w:t>
      </w:r>
      <w:r>
        <w:rPr>
          <w:rFonts w:hint="eastAsia" w:ascii="宋体" w:hAnsi="宋体" w:eastAsia="宋体" w:cs="宋体-PUA"/>
          <w:sz w:val="28"/>
          <w:szCs w:val="32"/>
        </w:rPr>
        <w:t>；O2：电化学法，仪器为氧气检测仪；流速：S型皮托管法，仪器为流速检测仪；温度：热电偶/偶法，仪器为温度检测仪；湿度：电容法，仪器为湿度检测仪。</w:t>
      </w:r>
    </w:p>
    <w:p>
      <w:pPr>
        <w:snapToGrid w:val="0"/>
        <w:spacing w:line="540" w:lineRule="exact"/>
        <w:ind w:firstLine="562" w:firstLineChars="200"/>
        <w:jc w:val="left"/>
        <w:rPr>
          <w:rFonts w:ascii="宋体" w:hAnsi="宋体" w:eastAsia="宋体" w:cs="宋体-PUA"/>
          <w:b/>
          <w:color w:val="000000"/>
          <w:sz w:val="28"/>
          <w:szCs w:val="32"/>
        </w:rPr>
      </w:pPr>
      <w:r>
        <w:rPr>
          <w:rFonts w:hint="eastAsia" w:ascii="宋体" w:hAnsi="宋体" w:eastAsia="宋体" w:cs="宋体-PUA"/>
          <w:b/>
          <w:color w:val="000000"/>
          <w:sz w:val="28"/>
          <w:szCs w:val="32"/>
        </w:rPr>
        <w:t>（二）废水监测</w:t>
      </w:r>
    </w:p>
    <w:p>
      <w:pPr>
        <w:snapToGrid w:val="0"/>
        <w:spacing w:line="540" w:lineRule="exact"/>
        <w:ind w:firstLine="560" w:firstLineChars="200"/>
        <w:jc w:val="left"/>
        <w:rPr>
          <w:rFonts w:ascii="宋体" w:hAnsi="宋体" w:eastAsia="宋体" w:cs="宋体-PUA"/>
          <w:color w:val="000000"/>
          <w:sz w:val="28"/>
          <w:szCs w:val="32"/>
        </w:rPr>
      </w:pPr>
      <w:r>
        <w:rPr>
          <w:rFonts w:hint="eastAsia" w:ascii="宋体" w:hAnsi="宋体" w:eastAsia="宋体" w:cs="宋体-PUA"/>
          <w:color w:val="000000"/>
          <w:sz w:val="28"/>
          <w:szCs w:val="32"/>
        </w:rPr>
        <w:t>我公司无废水外排，工业废水和生活污水经处理后全部回收利用，灰场内的水经灰场沉淀池沉淀后打回现场回用，废水达到零排放，因此无水质污染物。</w:t>
      </w:r>
    </w:p>
    <w:p>
      <w:pPr>
        <w:snapToGrid w:val="0"/>
        <w:spacing w:line="540" w:lineRule="exact"/>
        <w:ind w:firstLine="560" w:firstLineChars="200"/>
        <w:jc w:val="left"/>
        <w:rPr>
          <w:rFonts w:ascii="宋体" w:hAnsi="宋体" w:eastAsia="宋体" w:cs="宋体-PUA"/>
          <w:color w:val="000000"/>
          <w:sz w:val="28"/>
          <w:szCs w:val="32"/>
        </w:rPr>
      </w:pPr>
      <w:r>
        <w:rPr>
          <w:rFonts w:hint="eastAsia" w:ascii="宋体" w:hAnsi="宋体" w:eastAsia="宋体" w:cs="宋体-PUA"/>
          <w:color w:val="000000"/>
          <w:sz w:val="28"/>
          <w:szCs w:val="32"/>
        </w:rPr>
        <w:t>每月监测一次处理后的工业废水和生活污水及灰场回用水水质。</w:t>
      </w:r>
    </w:p>
    <w:p>
      <w:pPr>
        <w:spacing w:line="540" w:lineRule="exact"/>
        <w:ind w:firstLine="560" w:firstLineChars="200"/>
        <w:jc w:val="left"/>
        <w:rPr>
          <w:rFonts w:ascii="宋体" w:hAnsi="宋体" w:eastAsia="宋体" w:cs="宋体-PUA"/>
          <w:color w:val="000000"/>
          <w:sz w:val="28"/>
          <w:szCs w:val="32"/>
        </w:rPr>
      </w:pPr>
      <w:r>
        <w:rPr>
          <w:rFonts w:hint="eastAsia" w:ascii="宋体" w:hAnsi="宋体" w:eastAsia="宋体" w:cs="宋体-PUA"/>
          <w:color w:val="000000"/>
          <w:kern w:val="0"/>
          <w:sz w:val="28"/>
          <w:szCs w:val="32"/>
        </w:rPr>
        <w:t>监测指标</w:t>
      </w:r>
    </w:p>
    <w:p>
      <w:pPr>
        <w:spacing w:line="540" w:lineRule="exact"/>
        <w:ind w:firstLine="560" w:firstLineChars="200"/>
        <w:jc w:val="left"/>
        <w:rPr>
          <w:rFonts w:ascii="宋体" w:hAnsi="宋体" w:eastAsia="宋体" w:cs="宋体-PUA"/>
          <w:b/>
          <w:bCs/>
          <w:color w:val="000000"/>
          <w:sz w:val="28"/>
          <w:szCs w:val="32"/>
        </w:rPr>
      </w:pPr>
      <w:r>
        <w:rPr>
          <w:rFonts w:hint="eastAsia" w:ascii="宋体" w:hAnsi="宋体" w:eastAsia="宋体" w:cs="宋体-PUA"/>
          <w:color w:val="000000"/>
          <w:sz w:val="28"/>
          <w:szCs w:val="32"/>
        </w:rPr>
        <w:t>pH值、化学耗氧量、悬浮物、氟化物、砷化物、挥发酚、氨氮、石油类等</w:t>
      </w:r>
      <w:r>
        <w:rPr>
          <w:rFonts w:hint="eastAsia" w:ascii="宋体" w:hAnsi="宋体" w:eastAsia="宋体" w:cs="宋体-PUA"/>
          <w:b/>
          <w:bCs/>
          <w:color w:val="000000"/>
          <w:sz w:val="28"/>
          <w:szCs w:val="32"/>
        </w:rPr>
        <w:t>。</w:t>
      </w:r>
    </w:p>
    <w:p>
      <w:pPr>
        <w:snapToGrid w:val="0"/>
        <w:spacing w:line="540" w:lineRule="exact"/>
        <w:ind w:firstLine="562" w:firstLineChars="200"/>
        <w:jc w:val="left"/>
        <w:rPr>
          <w:rFonts w:ascii="宋体" w:hAnsi="宋体" w:eastAsia="宋体" w:cs="宋体-PUA"/>
          <w:b/>
          <w:bCs/>
          <w:kern w:val="0"/>
          <w:sz w:val="28"/>
          <w:szCs w:val="32"/>
        </w:rPr>
      </w:pPr>
      <w:r>
        <w:rPr>
          <w:rFonts w:hint="eastAsia" w:ascii="宋体" w:hAnsi="宋体" w:eastAsia="宋体" w:cs="宋体-PUA"/>
          <w:b/>
          <w:bCs/>
          <w:kern w:val="0"/>
          <w:sz w:val="28"/>
          <w:szCs w:val="32"/>
        </w:rPr>
        <w:t>（三）厂界噪声监测</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1、监测点位</w:t>
      </w:r>
    </w:p>
    <w:p>
      <w:pPr>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在厂界外各方向设置，共设12 个监测点（监测点位示意图见附件1）</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2、监测指标</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昼、夜等效声级。</w:t>
      </w:r>
    </w:p>
    <w:p>
      <w:pPr>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3、监测频次</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厂界外的12个点位，每季度监测1次。</w:t>
      </w:r>
    </w:p>
    <w:p>
      <w:pPr>
        <w:snapToGrid w:val="0"/>
        <w:spacing w:line="540" w:lineRule="exact"/>
        <w:jc w:val="left"/>
        <w:rPr>
          <w:rFonts w:ascii="宋体" w:hAnsi="宋体" w:eastAsia="宋体" w:cs="宋体-PUA"/>
          <w:kern w:val="0"/>
          <w:sz w:val="28"/>
          <w:szCs w:val="32"/>
        </w:rPr>
      </w:pPr>
      <w:r>
        <w:rPr>
          <w:rFonts w:hint="eastAsia" w:ascii="宋体" w:hAnsi="宋体" w:eastAsia="宋体" w:cs="宋体-PUA"/>
          <w:kern w:val="0"/>
          <w:sz w:val="28"/>
          <w:szCs w:val="32"/>
        </w:rPr>
        <w:t xml:space="preserve">    4、执行排放标准及其限值</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《工业企业厂界噪声排放标准》(GB12348-2008)。我公司执行二级标准，昼间执行60dB,夜间执行50 dB，</w:t>
      </w:r>
      <w:r>
        <w:rPr>
          <w:rFonts w:hint="eastAsia" w:ascii="宋体" w:hAnsi="宋体" w:eastAsia="宋体" w:cs="宋体-PUA"/>
          <w:sz w:val="28"/>
          <w:szCs w:val="32"/>
        </w:rPr>
        <w:t>厂界周围无噪声敏感点</w:t>
      </w:r>
      <w:r>
        <w:rPr>
          <w:rFonts w:hint="eastAsia" w:ascii="宋体" w:hAnsi="宋体" w:eastAsia="宋体" w:cs="宋体-PUA"/>
          <w:kern w:val="0"/>
          <w:sz w:val="28"/>
          <w:szCs w:val="32"/>
        </w:rPr>
        <w:t>。</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5、监测方法和仪器</w:t>
      </w:r>
    </w:p>
    <w:p>
      <w:pPr>
        <w:snapToGrid w:val="0"/>
        <w:spacing w:line="540" w:lineRule="exact"/>
        <w:ind w:firstLine="560" w:firstLineChars="200"/>
        <w:jc w:val="left"/>
        <w:rPr>
          <w:rFonts w:ascii="宋体" w:hAnsi="宋体" w:eastAsia="宋体" w:cs="宋体-PUA"/>
          <w:sz w:val="28"/>
          <w:szCs w:val="32"/>
        </w:rPr>
      </w:pPr>
      <w:r>
        <w:rPr>
          <w:rFonts w:hint="eastAsia" w:ascii="宋体" w:hAnsi="宋体" w:eastAsia="宋体" w:cs="宋体-PUA"/>
          <w:sz w:val="28"/>
          <w:szCs w:val="32"/>
        </w:rPr>
        <w:t>国家环境监测技术规范和方法。监测方法为声级计法，仪器为HS5633B型声级计。</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sz w:val="28"/>
          <w:szCs w:val="32"/>
        </w:rPr>
        <w:t>（四）周边</w:t>
      </w:r>
      <w:r>
        <w:rPr>
          <w:rFonts w:hint="eastAsia" w:ascii="宋体" w:hAnsi="宋体" w:eastAsia="宋体" w:cs="宋体-PUA"/>
          <w:kern w:val="0"/>
          <w:sz w:val="28"/>
          <w:szCs w:val="32"/>
        </w:rPr>
        <w:t>环境质量监测</w:t>
      </w:r>
    </w:p>
    <w:p>
      <w:pPr>
        <w:snapToGrid w:val="0"/>
        <w:spacing w:line="540" w:lineRule="exact"/>
        <w:ind w:firstLine="560" w:firstLineChars="200"/>
        <w:jc w:val="left"/>
        <w:rPr>
          <w:rFonts w:ascii="宋体" w:hAnsi="宋体" w:eastAsia="宋体" w:cs="宋体-PUA"/>
          <w:kern w:val="0"/>
          <w:sz w:val="28"/>
          <w:szCs w:val="32"/>
        </w:rPr>
      </w:pPr>
      <w:r>
        <w:rPr>
          <w:rFonts w:hint="eastAsia" w:ascii="宋体" w:hAnsi="宋体" w:eastAsia="宋体" w:cs="宋体-PUA"/>
          <w:kern w:val="0"/>
          <w:sz w:val="28"/>
          <w:szCs w:val="32"/>
        </w:rPr>
        <w:t>按照环境影响评价报告书（表）及其批复要求执行。</w:t>
      </w:r>
    </w:p>
    <w:p>
      <w:pPr>
        <w:snapToGrid w:val="0"/>
        <w:spacing w:line="540" w:lineRule="exact"/>
        <w:ind w:firstLine="562" w:firstLineChars="200"/>
        <w:jc w:val="left"/>
        <w:rPr>
          <w:rFonts w:ascii="宋体" w:hAnsi="宋体" w:eastAsia="宋体" w:cs="宋体-PUA"/>
          <w:b/>
          <w:color w:val="000000"/>
          <w:kern w:val="0"/>
          <w:sz w:val="28"/>
          <w:szCs w:val="32"/>
        </w:rPr>
      </w:pPr>
      <w:r>
        <w:rPr>
          <w:rFonts w:hint="eastAsia" w:ascii="宋体" w:hAnsi="宋体" w:eastAsia="宋体" w:cs="宋体-PUA"/>
          <w:b/>
          <w:color w:val="000000"/>
          <w:sz w:val="28"/>
          <w:szCs w:val="32"/>
        </w:rPr>
        <w:t>1、贮灰场水监测</w:t>
      </w:r>
    </w:p>
    <w:p>
      <w:pPr>
        <w:spacing w:line="540" w:lineRule="exact"/>
        <w:ind w:firstLine="450" w:firstLineChars="161"/>
        <w:jc w:val="left"/>
        <w:rPr>
          <w:rFonts w:ascii="宋体" w:hAnsi="宋体" w:eastAsia="宋体" w:cs="宋体-PUA"/>
          <w:color w:val="000000"/>
          <w:sz w:val="28"/>
          <w:szCs w:val="32"/>
        </w:rPr>
      </w:pPr>
      <w:r>
        <w:rPr>
          <w:rFonts w:hint="eastAsia" w:ascii="宋体" w:hAnsi="宋体" w:eastAsia="宋体" w:cs="宋体-PUA"/>
          <w:color w:val="000000"/>
          <w:sz w:val="28"/>
          <w:szCs w:val="32"/>
        </w:rPr>
        <w:t>监测点位</w:t>
      </w:r>
    </w:p>
    <w:p>
      <w:pPr>
        <w:pStyle w:val="3"/>
        <w:spacing w:line="360" w:lineRule="auto"/>
        <w:ind w:firstLine="560" w:firstLineChars="200"/>
        <w:rPr>
          <w:rFonts w:hAnsi="宋体" w:eastAsia="宋体" w:cs="宋体-PUA"/>
          <w:color w:val="000000"/>
          <w:sz w:val="28"/>
          <w:szCs w:val="32"/>
        </w:rPr>
      </w:pPr>
      <w:r>
        <w:rPr>
          <w:rFonts w:hint="eastAsia" w:hAnsi="宋体" w:eastAsia="宋体" w:cs="宋体-PUA"/>
          <w:color w:val="000000"/>
          <w:sz w:val="28"/>
          <w:szCs w:val="32"/>
        </w:rPr>
        <w:t>按照一般工业固体废物贮存、处置场污染控制标准（GB18599-2001）要求，</w:t>
      </w:r>
    </w:p>
    <w:p>
      <w:pPr>
        <w:spacing w:line="540" w:lineRule="exact"/>
        <w:ind w:firstLine="560" w:firstLineChars="200"/>
        <w:jc w:val="left"/>
        <w:rPr>
          <w:rFonts w:ascii="宋体" w:hAnsi="宋体" w:eastAsia="宋体" w:cs="宋体-PUA"/>
          <w:color w:val="000000"/>
          <w:sz w:val="28"/>
          <w:szCs w:val="32"/>
        </w:rPr>
      </w:pPr>
      <w:r>
        <w:rPr>
          <w:rFonts w:hint="eastAsia" w:ascii="宋体" w:hAnsi="宋体" w:eastAsia="宋体" w:cs="宋体-PUA"/>
          <w:color w:val="000000"/>
          <w:sz w:val="28"/>
          <w:szCs w:val="32"/>
        </w:rPr>
        <w:t>我公司在灰场周围设置设置三口监测井，两口为地下水监测井，一口为渗漏液监测井。</w:t>
      </w:r>
    </w:p>
    <w:p>
      <w:pPr>
        <w:spacing w:line="360" w:lineRule="auto"/>
        <w:ind w:firstLine="560" w:firstLineChars="200"/>
        <w:rPr>
          <w:rFonts w:ascii="宋体" w:hAnsi="宋体" w:eastAsia="宋体" w:cs="宋体-PUA"/>
          <w:color w:val="000000"/>
          <w:sz w:val="28"/>
          <w:szCs w:val="32"/>
        </w:rPr>
      </w:pPr>
      <w:r>
        <w:rPr>
          <w:rFonts w:hint="eastAsia" w:ascii="宋体" w:hAnsi="宋体" w:eastAsia="宋体" w:cs="宋体-PUA"/>
          <w:color w:val="000000"/>
          <w:sz w:val="28"/>
          <w:szCs w:val="32"/>
        </w:rPr>
        <w:t>监测井具体位置见下图：</w:t>
      </w:r>
    </w:p>
    <w:p>
      <w:pPr>
        <w:spacing w:line="360" w:lineRule="auto"/>
        <w:ind w:firstLine="560" w:firstLineChars="200"/>
        <w:rPr>
          <w:rFonts w:ascii="宋体" w:hAnsi="宋体" w:eastAsia="宋体" w:cs="宋体-PUA"/>
          <w:color w:val="000000"/>
          <w:sz w:val="28"/>
          <w:szCs w:val="32"/>
        </w:rPr>
      </w:pPr>
      <w:r>
        <w:rPr>
          <w:rFonts w:ascii="宋体" w:hAnsi="宋体" w:eastAsia="宋体" w:cs="宋体-PUA"/>
          <w:color w:val="000000"/>
          <w:sz w:val="28"/>
          <w:szCs w:val="32"/>
        </w:rPr>
        <w:drawing>
          <wp:inline distT="0" distB="0" distL="0" distR="0">
            <wp:extent cx="4972050" cy="3619500"/>
            <wp:effectExtent l="19050" t="0" r="0" b="0"/>
            <wp:docPr id="3" name="图片 8" descr="20110714_16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20110714_163325"/>
                    <pic:cNvPicPr>
                      <a:picLocks noChangeAspect="1" noChangeArrowheads="1"/>
                    </pic:cNvPicPr>
                  </pic:nvPicPr>
                  <pic:blipFill>
                    <a:blip r:embed="rId11"/>
                    <a:srcRect/>
                    <a:stretch>
                      <a:fillRect/>
                    </a:stretch>
                  </pic:blipFill>
                  <pic:spPr>
                    <a:xfrm>
                      <a:off x="0" y="0"/>
                      <a:ext cx="4976576" cy="3622795"/>
                    </a:xfrm>
                    <a:prstGeom prst="rect">
                      <a:avLst/>
                    </a:prstGeom>
                    <a:noFill/>
                    <a:ln w="9525">
                      <a:noFill/>
                      <a:miter lim="800000"/>
                      <a:headEnd/>
                      <a:tailEnd/>
                    </a:ln>
                  </pic:spPr>
                </pic:pic>
              </a:graphicData>
            </a:graphic>
          </wp:inline>
        </w:drawing>
      </w:r>
    </w:p>
    <w:p>
      <w:pPr>
        <w:spacing w:line="360" w:lineRule="auto"/>
        <w:ind w:firstLine="480"/>
        <w:rPr>
          <w:rFonts w:ascii="宋体" w:hAnsi="宋体" w:cs="宋体-PUA"/>
          <w:color w:val="000000"/>
          <w:sz w:val="28"/>
          <w:szCs w:val="32"/>
        </w:rPr>
      </w:pPr>
      <w:r>
        <w:rPr>
          <w:rFonts w:hint="eastAsia" w:ascii="宋体" w:hAnsi="宋体" w:cs="宋体-PUA"/>
          <w:color w:val="000000"/>
          <w:sz w:val="28"/>
          <w:szCs w:val="32"/>
        </w:rPr>
        <w:t>一号监测点位于灰场提升泵站外，处于地下水流动方向的上游，井口直径约80cm，井深90米，井为砖混结构，井内有潜水泵，可以将井内的水抽出进行取样。如下图：</w:t>
      </w:r>
    </w:p>
    <w:p>
      <w:pPr>
        <w:spacing w:line="360" w:lineRule="auto"/>
        <w:ind w:firstLine="480"/>
        <w:rPr>
          <w:rFonts w:ascii="宋体" w:hAnsi="宋体" w:cs="宋体-PUA"/>
          <w:color w:val="000000"/>
          <w:sz w:val="32"/>
          <w:szCs w:val="32"/>
        </w:rPr>
      </w:pPr>
      <w:r>
        <w:rPr>
          <w:rFonts w:ascii="宋体" w:hAnsi="宋体" w:cs="宋体-PUA"/>
          <w:color w:val="000000"/>
          <w:sz w:val="32"/>
          <w:szCs w:val="32"/>
        </w:rPr>
        <w:drawing>
          <wp:anchor distT="0" distB="0" distL="114300" distR="114300" simplePos="0" relativeHeight="251661312" behindDoc="0" locked="0" layoutInCell="1" allowOverlap="1">
            <wp:simplePos x="0" y="0"/>
            <wp:positionH relativeFrom="column">
              <wp:posOffset>59055</wp:posOffset>
            </wp:positionH>
            <wp:positionV relativeFrom="paragraph">
              <wp:posOffset>90805</wp:posOffset>
            </wp:positionV>
            <wp:extent cx="5162550" cy="3181350"/>
            <wp:effectExtent l="19050" t="0" r="1" b="0"/>
            <wp:wrapNone/>
            <wp:docPr id="5" name="图片 3" descr="P62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P6290018"/>
                    <pic:cNvPicPr>
                      <a:picLocks noChangeAspect="1" noChangeArrowheads="1"/>
                    </pic:cNvPicPr>
                  </pic:nvPicPr>
                  <pic:blipFill>
                    <a:blip r:embed="rId12" cstate="print"/>
                    <a:srcRect/>
                    <a:stretch>
                      <a:fillRect/>
                    </a:stretch>
                  </pic:blipFill>
                  <pic:spPr>
                    <a:xfrm>
                      <a:off x="0" y="0"/>
                      <a:ext cx="5165090" cy="3182916"/>
                    </a:xfrm>
                    <a:prstGeom prst="rect">
                      <a:avLst/>
                    </a:prstGeom>
                    <a:noFill/>
                    <a:ln w="9525">
                      <a:noFill/>
                      <a:miter lim="800000"/>
                      <a:headEnd/>
                      <a:tailEnd/>
                    </a:ln>
                  </pic:spPr>
                </pic:pic>
              </a:graphicData>
            </a:graphic>
          </wp:anchor>
        </w:drawing>
      </w:r>
    </w:p>
    <w:p>
      <w:pPr>
        <w:spacing w:line="360" w:lineRule="auto"/>
        <w:ind w:firstLine="480"/>
        <w:rPr>
          <w:rFonts w:ascii="宋体" w:hAnsi="宋体" w:cs="宋体-PUA"/>
          <w:color w:val="000000"/>
          <w:sz w:val="32"/>
          <w:szCs w:val="32"/>
        </w:rPr>
      </w:pPr>
    </w:p>
    <w:p>
      <w:pPr>
        <w:ind w:firstLine="480"/>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 xml:space="preserve">                                            1号监测井</w:t>
      </w:r>
    </w:p>
    <w:p>
      <w:pPr>
        <w:ind w:firstLine="480"/>
        <w:rPr>
          <w:rFonts w:ascii="宋体" w:hAnsi="宋体"/>
          <w:color w:val="000000"/>
          <w:sz w:val="24"/>
        </w:rPr>
      </w:pPr>
    </w:p>
    <w:p>
      <w:pPr>
        <w:spacing w:line="360" w:lineRule="auto"/>
        <w:ind w:firstLine="480"/>
        <w:rPr>
          <w:rFonts w:ascii="宋体" w:hAnsi="宋体" w:cs="宋体-PUA"/>
          <w:color w:val="000000"/>
          <w:sz w:val="32"/>
          <w:szCs w:val="32"/>
        </w:rPr>
      </w:pPr>
    </w:p>
    <w:p>
      <w:pPr>
        <w:spacing w:line="360" w:lineRule="auto"/>
        <w:rPr>
          <w:rFonts w:ascii="宋体" w:hAnsi="宋体" w:cs="宋体-PUA"/>
          <w:color w:val="000000"/>
          <w:sz w:val="32"/>
          <w:szCs w:val="32"/>
        </w:rPr>
      </w:pPr>
    </w:p>
    <w:p>
      <w:pPr>
        <w:ind w:right="720" w:firstLine="480"/>
        <w:jc w:val="center"/>
        <w:rPr>
          <w:rFonts w:ascii="宋体" w:hAnsi="宋体"/>
          <w:color w:val="000000"/>
          <w:sz w:val="24"/>
        </w:rPr>
      </w:pPr>
      <w:r>
        <w:rPr>
          <w:rFonts w:hint="eastAsia" w:ascii="宋体" w:hAnsi="宋体"/>
          <w:color w:val="000000"/>
          <w:sz w:val="24"/>
        </w:rPr>
        <w:t xml:space="preserve">                                  1号监测井</w:t>
      </w:r>
    </w:p>
    <w:p>
      <w:pPr>
        <w:spacing w:line="360" w:lineRule="auto"/>
        <w:ind w:firstLine="480"/>
        <w:rPr>
          <w:rFonts w:ascii="宋体" w:hAnsi="宋体" w:eastAsia="宋体" w:cs="宋体-PUA"/>
          <w:color w:val="000000"/>
          <w:sz w:val="28"/>
          <w:szCs w:val="32"/>
        </w:rPr>
      </w:pPr>
      <w:r>
        <w:rPr>
          <w:rFonts w:hint="eastAsia" w:ascii="宋体" w:hAnsi="宋体" w:eastAsia="宋体" w:cs="宋体-PUA"/>
          <w:color w:val="000000"/>
          <w:sz w:val="28"/>
          <w:szCs w:val="32"/>
        </w:rPr>
        <w:drawing>
          <wp:anchor distT="0" distB="0" distL="114300" distR="114300" simplePos="0" relativeHeight="251663360" behindDoc="1" locked="0" layoutInCell="1" allowOverlap="1">
            <wp:simplePos x="0" y="0"/>
            <wp:positionH relativeFrom="column">
              <wp:posOffset>230505</wp:posOffset>
            </wp:positionH>
            <wp:positionV relativeFrom="paragraph">
              <wp:posOffset>1171575</wp:posOffset>
            </wp:positionV>
            <wp:extent cx="5029200" cy="2962275"/>
            <wp:effectExtent l="19050" t="0" r="0" b="0"/>
            <wp:wrapTight wrapText="bothSides">
              <wp:wrapPolygon>
                <wp:start x="-82" y="0"/>
                <wp:lineTo x="-82" y="21531"/>
                <wp:lineTo x="21600" y="21531"/>
                <wp:lineTo x="21600" y="0"/>
                <wp:lineTo x="-82" y="0"/>
              </wp:wrapPolygon>
            </wp:wrapTight>
            <wp:docPr id="1" name="图片 4" descr="P62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6290016"/>
                    <pic:cNvPicPr>
                      <a:picLocks noChangeAspect="1" noChangeArrowheads="1"/>
                    </pic:cNvPicPr>
                  </pic:nvPicPr>
                  <pic:blipFill>
                    <a:blip r:embed="rId13" cstate="print"/>
                    <a:srcRect/>
                    <a:stretch>
                      <a:fillRect/>
                    </a:stretch>
                  </pic:blipFill>
                  <pic:spPr>
                    <a:xfrm>
                      <a:off x="0" y="0"/>
                      <a:ext cx="5029200" cy="2962275"/>
                    </a:xfrm>
                    <a:prstGeom prst="rect">
                      <a:avLst/>
                    </a:prstGeom>
                    <a:noFill/>
                    <a:ln w="9525">
                      <a:noFill/>
                      <a:miter lim="800000"/>
                      <a:headEnd/>
                      <a:tailEnd/>
                    </a:ln>
                  </pic:spPr>
                </pic:pic>
              </a:graphicData>
            </a:graphic>
          </wp:anchor>
        </w:drawing>
      </w:r>
      <w:r>
        <w:rPr>
          <w:rFonts w:hint="eastAsia" w:ascii="宋体" w:hAnsi="宋体" w:eastAsia="宋体" w:cs="宋体-PUA"/>
          <w:color w:val="000000"/>
          <w:sz w:val="28"/>
          <w:szCs w:val="32"/>
        </w:rPr>
        <w:t>二号监测点位于灰场沉淀池附近，处于地下水流动方向的下游，井口直径约80cm，井深120米，井为砖混结构，井内有潜水泵，可以将井内的水抽出进行取样。如下图：</w:t>
      </w:r>
    </w:p>
    <w:p>
      <w:pPr>
        <w:ind w:right="240" w:firstLine="480"/>
        <w:jc w:val="right"/>
        <w:rPr>
          <w:rFonts w:ascii="宋体" w:hAnsi="宋体"/>
          <w:color w:val="000000"/>
          <w:sz w:val="24"/>
        </w:rPr>
      </w:pPr>
      <w:r>
        <w:rPr>
          <w:rFonts w:hint="eastAsia" w:ascii="宋体" w:hAnsi="宋体"/>
          <w:color w:val="000000"/>
          <w:sz w:val="24"/>
        </w:rPr>
        <w:t>2号监测井</w:t>
      </w:r>
    </w:p>
    <w:p>
      <w:pPr>
        <w:spacing w:line="360" w:lineRule="auto"/>
        <w:rPr>
          <w:rFonts w:ascii="宋体" w:hAnsi="宋体" w:cs="宋体-PUA"/>
          <w:color w:val="000000"/>
          <w:sz w:val="28"/>
          <w:szCs w:val="32"/>
        </w:rPr>
      </w:pPr>
      <w:r>
        <w:rPr>
          <w:rFonts w:hint="eastAsia" w:ascii="宋体" w:hAnsi="宋体"/>
          <w:color w:val="000000"/>
          <w:sz w:val="24"/>
        </w:rPr>
        <w:t xml:space="preserve">   </w:t>
      </w:r>
      <w:r>
        <w:rPr>
          <w:rFonts w:hint="eastAsia" w:ascii="宋体" w:hAnsi="宋体" w:cs="宋体-PUA"/>
          <w:color w:val="000000"/>
          <w:sz w:val="32"/>
          <w:szCs w:val="32"/>
        </w:rPr>
        <w:t xml:space="preserve"> </w:t>
      </w:r>
      <w:r>
        <w:rPr>
          <w:rFonts w:hint="eastAsia" w:ascii="宋体" w:hAnsi="宋体" w:cs="宋体-PUA"/>
          <w:color w:val="000000"/>
          <w:sz w:val="28"/>
          <w:szCs w:val="32"/>
        </w:rPr>
        <w:t>三号监测点设在灰水储存池，储存池内的水为灰场内的水。储存池面为80×30米，底为60×15米，容积为5760m</w:t>
      </w:r>
      <w:r>
        <w:rPr>
          <w:rFonts w:hint="eastAsia" w:ascii="宋体" w:hAnsi="宋体" w:cs="宋体-PUA"/>
          <w:color w:val="000000"/>
          <w:sz w:val="28"/>
          <w:szCs w:val="32"/>
          <w:vertAlign w:val="superscript"/>
        </w:rPr>
        <w:t>3</w:t>
      </w:r>
      <w:r>
        <w:rPr>
          <w:rFonts w:hint="eastAsia" w:ascii="宋体" w:hAnsi="宋体" w:cs="宋体-PUA"/>
          <w:color w:val="000000"/>
          <w:sz w:val="28"/>
          <w:szCs w:val="32"/>
        </w:rPr>
        <w:t>池内的水经沉淀后打回现场回用。此监测点做为渗滤液取样点。</w:t>
      </w:r>
    </w:p>
    <w:p>
      <w:pPr>
        <w:ind w:firstLine="120" w:firstLineChars="50"/>
        <w:rPr>
          <w:rFonts w:ascii="宋体" w:hAnsi="宋体"/>
          <w:color w:val="000000"/>
          <w:sz w:val="24"/>
        </w:rPr>
      </w:pPr>
      <w:r>
        <w:rPr>
          <w:rFonts w:hint="eastAsia" w:ascii="宋体" w:hAnsi="宋体"/>
          <w:color w:val="000000"/>
          <w:sz w:val="24"/>
        </w:rPr>
        <w:drawing>
          <wp:inline distT="0" distB="0" distL="0" distR="0">
            <wp:extent cx="5019675" cy="27146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srcRect/>
                    <a:stretch>
                      <a:fillRect/>
                    </a:stretch>
                  </pic:blipFill>
                  <pic:spPr>
                    <a:xfrm>
                      <a:off x="0" y="0"/>
                      <a:ext cx="5019675" cy="2714625"/>
                    </a:xfrm>
                    <a:prstGeom prst="rect">
                      <a:avLst/>
                    </a:prstGeom>
                    <a:noFill/>
                    <a:ln w="9525">
                      <a:noFill/>
                      <a:miter lim="800000"/>
                      <a:headEnd/>
                      <a:tailEnd/>
                    </a:ln>
                  </pic:spPr>
                </pic:pic>
              </a:graphicData>
            </a:graphic>
          </wp:inline>
        </w:drawing>
      </w:r>
    </w:p>
    <w:p>
      <w:pPr>
        <w:ind w:firstLine="480"/>
        <w:rPr>
          <w:rFonts w:ascii="宋体" w:hAnsi="宋体"/>
          <w:color w:val="000000"/>
          <w:kern w:val="0"/>
          <w:sz w:val="32"/>
          <w:szCs w:val="32"/>
        </w:rPr>
      </w:pPr>
      <w:r>
        <w:rPr>
          <w:rFonts w:hint="eastAsia" w:ascii="宋体" w:hAnsi="宋体"/>
          <w:color w:val="000000"/>
          <w:sz w:val="24"/>
        </w:rPr>
        <w:t xml:space="preserve">                                          3号监测井</w:t>
      </w:r>
    </w:p>
    <w:p>
      <w:pPr>
        <w:spacing w:line="540" w:lineRule="exact"/>
        <w:ind w:firstLine="560" w:firstLineChars="200"/>
        <w:jc w:val="left"/>
        <w:rPr>
          <w:rFonts w:ascii="宋体" w:hAnsi="宋体" w:cs="宋体-PUA"/>
          <w:color w:val="000000"/>
          <w:sz w:val="28"/>
          <w:szCs w:val="32"/>
        </w:rPr>
      </w:pPr>
      <w:r>
        <w:rPr>
          <w:rFonts w:hint="eastAsia" w:ascii="宋体" w:hAnsi="宋体" w:cs="宋体-PUA"/>
          <w:color w:val="000000"/>
          <w:kern w:val="0"/>
          <w:sz w:val="28"/>
          <w:szCs w:val="32"/>
        </w:rPr>
        <w:t>监测指标</w:t>
      </w:r>
    </w:p>
    <w:p>
      <w:pPr>
        <w:spacing w:line="540" w:lineRule="exact"/>
        <w:ind w:firstLine="560" w:firstLineChars="200"/>
        <w:jc w:val="left"/>
        <w:rPr>
          <w:rFonts w:ascii="宋体" w:hAnsi="宋体" w:cs="宋体-PUA"/>
          <w:color w:val="000000"/>
          <w:sz w:val="28"/>
          <w:szCs w:val="32"/>
        </w:rPr>
      </w:pPr>
      <w:r>
        <w:rPr>
          <w:rFonts w:hint="eastAsia" w:ascii="宋体" w:hAnsi="宋体" w:cs="宋体-PUA"/>
          <w:color w:val="000000"/>
          <w:sz w:val="28"/>
          <w:szCs w:val="32"/>
        </w:rPr>
        <w:t>pH值、浊度、氟化物、高锰酸盐指数、砷、硝酸盐氮、磷酸盐等</w:t>
      </w:r>
      <w:r>
        <w:rPr>
          <w:rFonts w:hint="eastAsia" w:ascii="宋体" w:hAnsi="宋体" w:cs="宋体-PUA"/>
          <w:b/>
          <w:bCs/>
          <w:color w:val="000000"/>
          <w:sz w:val="28"/>
          <w:szCs w:val="32"/>
        </w:rPr>
        <w:t>。</w:t>
      </w:r>
    </w:p>
    <w:p>
      <w:pPr>
        <w:spacing w:line="360" w:lineRule="auto"/>
        <w:ind w:firstLine="588" w:firstLineChars="210"/>
        <w:rPr>
          <w:rFonts w:ascii="宋体" w:hAnsi="宋体" w:cs="宋体-PUA"/>
          <w:color w:val="000000"/>
          <w:kern w:val="0"/>
          <w:sz w:val="28"/>
          <w:szCs w:val="32"/>
        </w:rPr>
      </w:pPr>
      <w:r>
        <w:rPr>
          <w:rFonts w:hint="eastAsia" w:ascii="宋体" w:hAnsi="宋体" w:cs="宋体-PUA"/>
          <w:color w:val="000000"/>
          <w:kern w:val="0"/>
          <w:sz w:val="28"/>
          <w:szCs w:val="32"/>
        </w:rPr>
        <w:t>监测频次</w:t>
      </w:r>
    </w:p>
    <w:p>
      <w:pPr>
        <w:snapToGrid w:val="0"/>
        <w:spacing w:line="540" w:lineRule="exact"/>
        <w:ind w:firstLine="560" w:firstLineChars="200"/>
        <w:jc w:val="left"/>
        <w:rPr>
          <w:rFonts w:ascii="宋体" w:hAnsi="宋体" w:cs="宋体-PUA"/>
          <w:color w:val="000000"/>
          <w:kern w:val="0"/>
          <w:sz w:val="28"/>
          <w:szCs w:val="32"/>
        </w:rPr>
      </w:pPr>
      <w:r>
        <w:rPr>
          <w:rFonts w:hint="eastAsia" w:ascii="宋体" w:hAnsi="宋体" w:cs="宋体-PUA"/>
          <w:color w:val="000000"/>
          <w:kern w:val="0"/>
          <w:sz w:val="28"/>
          <w:szCs w:val="32"/>
        </w:rPr>
        <w:t>灰场管理站地下监控井每季度进行1次监测。</w:t>
      </w:r>
    </w:p>
    <w:p>
      <w:pPr>
        <w:snapToGrid w:val="0"/>
        <w:spacing w:line="540" w:lineRule="exact"/>
        <w:ind w:firstLine="588" w:firstLineChars="210"/>
        <w:jc w:val="left"/>
        <w:rPr>
          <w:rFonts w:ascii="宋体" w:hAnsi="宋体" w:cs="宋体-PUA"/>
          <w:color w:val="000000"/>
          <w:kern w:val="0"/>
          <w:sz w:val="28"/>
          <w:szCs w:val="32"/>
        </w:rPr>
      </w:pPr>
      <w:r>
        <w:rPr>
          <w:rFonts w:hint="eastAsia" w:ascii="宋体" w:hAnsi="宋体" w:cs="宋体-PUA"/>
          <w:color w:val="000000"/>
          <w:kern w:val="0"/>
          <w:sz w:val="28"/>
          <w:szCs w:val="32"/>
        </w:rPr>
        <w:t>执行排放标准及其限值</w:t>
      </w:r>
    </w:p>
    <w:p>
      <w:pPr>
        <w:snapToGrid w:val="0"/>
        <w:spacing w:line="540" w:lineRule="exact"/>
        <w:ind w:firstLine="420" w:firstLineChars="200"/>
        <w:jc w:val="left"/>
        <w:rPr>
          <w:rFonts w:ascii="宋体" w:hAnsi="宋体"/>
          <w:color w:val="000000"/>
          <w:szCs w:val="21"/>
          <w:lang w:val="zh-CN"/>
        </w:rPr>
      </w:pPr>
      <w:r>
        <w:rPr>
          <w:rFonts w:ascii="宋体" w:hAnsi="宋体"/>
          <w:color w:val="000000"/>
          <w:szCs w:val="21"/>
          <w:lang w:val="zh-CN"/>
        </w:rPr>
        <w:t>《地下水质量标准》（GB/T14848-93）中的Ⅲ类标准</w:t>
      </w:r>
    </w:p>
    <w:tbl>
      <w:tblPr>
        <w:tblStyle w:val="8"/>
        <w:tblW w:w="8527"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2"/>
        <w:gridCol w:w="28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42" w:type="dxa"/>
            <w:vAlign w:val="center"/>
          </w:tcPr>
          <w:p>
            <w:pPr>
              <w:spacing w:beforeLines="20" w:afterLines="20"/>
              <w:jc w:val="center"/>
              <w:rPr>
                <w:rFonts w:ascii="宋体" w:hAnsi="宋体"/>
                <w:b/>
                <w:bCs/>
                <w:color w:val="000000"/>
                <w:szCs w:val="21"/>
              </w:rPr>
            </w:pPr>
            <w:r>
              <w:rPr>
                <w:rFonts w:ascii="宋体" w:hAnsi="宋体"/>
                <w:b/>
                <w:bCs/>
                <w:color w:val="000000"/>
                <w:szCs w:val="21"/>
              </w:rPr>
              <w:t>污染物</w:t>
            </w:r>
          </w:p>
        </w:tc>
        <w:tc>
          <w:tcPr>
            <w:tcW w:w="2842" w:type="dxa"/>
            <w:vAlign w:val="center"/>
          </w:tcPr>
          <w:p>
            <w:pPr>
              <w:spacing w:beforeLines="20" w:afterLines="20"/>
              <w:jc w:val="center"/>
              <w:rPr>
                <w:rFonts w:ascii="宋体" w:hAnsi="宋体"/>
                <w:b/>
                <w:bCs/>
                <w:color w:val="000000"/>
                <w:szCs w:val="21"/>
              </w:rPr>
            </w:pPr>
            <w:r>
              <w:rPr>
                <w:rFonts w:ascii="宋体" w:hAnsi="宋体"/>
                <w:b/>
                <w:bCs/>
                <w:color w:val="000000"/>
                <w:szCs w:val="21"/>
              </w:rPr>
              <w:t>标准值（mg/L）</w:t>
            </w:r>
          </w:p>
        </w:tc>
        <w:tc>
          <w:tcPr>
            <w:tcW w:w="2843" w:type="dxa"/>
            <w:vAlign w:val="center"/>
          </w:tcPr>
          <w:p>
            <w:pPr>
              <w:spacing w:beforeLines="20" w:afterLines="20"/>
              <w:jc w:val="center"/>
              <w:rPr>
                <w:rFonts w:ascii="宋体" w:hAnsi="宋体"/>
                <w:b/>
                <w:bCs/>
                <w:color w:val="000000"/>
                <w:szCs w:val="21"/>
              </w:rPr>
            </w:pPr>
            <w:r>
              <w:rPr>
                <w:rFonts w:ascii="宋体" w:hAnsi="宋体"/>
                <w:b/>
                <w:bCs/>
                <w:color w:val="000000"/>
                <w:szCs w:val="21"/>
              </w:rPr>
              <w:t>依据标准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ascii="宋体" w:hAnsi="宋体"/>
                <w:color w:val="000000"/>
                <w:szCs w:val="28"/>
              </w:rPr>
              <w:t>pH值</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6.5～8.5</w:t>
            </w:r>
            <w:r>
              <w:rPr>
                <w:rFonts w:ascii="宋体" w:hAnsi="宋体"/>
                <w:color w:val="000000"/>
                <w:szCs w:val="21"/>
              </w:rPr>
              <w:t>（</w:t>
            </w:r>
            <w:r>
              <w:rPr>
                <w:rFonts w:ascii="宋体" w:hAnsi="宋体"/>
                <w:color w:val="000000"/>
              </w:rPr>
              <w:t>无量纲）</w:t>
            </w:r>
          </w:p>
        </w:tc>
        <w:tc>
          <w:tcPr>
            <w:tcW w:w="2843" w:type="dxa"/>
            <w:vMerge w:val="restart"/>
            <w:vAlign w:val="center"/>
          </w:tcPr>
          <w:p>
            <w:pPr>
              <w:spacing w:beforeLines="20" w:afterLines="20"/>
              <w:ind w:left="-57" w:right="-57"/>
              <w:rPr>
                <w:rFonts w:ascii="宋体" w:hAnsi="宋体"/>
                <w:color w:val="000000"/>
                <w:szCs w:val="21"/>
              </w:rPr>
            </w:pPr>
            <w:r>
              <w:rPr>
                <w:rFonts w:ascii="宋体" w:hAnsi="宋体"/>
                <w:color w:val="000000"/>
                <w:szCs w:val="21"/>
                <w:lang w:val="zh-CN"/>
              </w:rPr>
              <w:t>《地下水质量标准》（GB/T14848-93）中的Ⅲ类标准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hint="eastAsia" w:ascii="宋体" w:hAnsi="宋体"/>
                <w:color w:val="000000"/>
                <w:szCs w:val="28"/>
              </w:rPr>
              <w:t>浊度</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w:t>
            </w:r>
            <w:r>
              <w:rPr>
                <w:rFonts w:hint="eastAsia" w:ascii="宋体" w:hAnsi="宋体"/>
                <w:color w:val="000000"/>
                <w:szCs w:val="28"/>
              </w:rPr>
              <w:t>1.0</w:t>
            </w:r>
          </w:p>
        </w:tc>
        <w:tc>
          <w:tcPr>
            <w:tcW w:w="2843" w:type="dxa"/>
            <w:vMerge w:val="continue"/>
            <w:vAlign w:val="center"/>
          </w:tcPr>
          <w:p>
            <w:pPr>
              <w:spacing w:beforeLines="20" w:afterLines="20"/>
              <w:jc w:val="center"/>
              <w:rPr>
                <w:rFonts w:ascii="宋体" w:hAnsi="宋体"/>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ascii="宋体" w:hAnsi="宋体"/>
                <w:color w:val="000000"/>
                <w:szCs w:val="28"/>
              </w:rPr>
              <w:t>氟化物</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≤1.0</w:t>
            </w:r>
          </w:p>
        </w:tc>
        <w:tc>
          <w:tcPr>
            <w:tcW w:w="2843" w:type="dxa"/>
            <w:vMerge w:val="continue"/>
            <w:vAlign w:val="center"/>
          </w:tcPr>
          <w:p>
            <w:pPr>
              <w:spacing w:beforeLines="20" w:afterLines="20"/>
              <w:jc w:val="center"/>
              <w:rPr>
                <w:rFonts w:ascii="宋体" w:hAnsi="宋体"/>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ascii="宋体" w:hAnsi="宋体"/>
                <w:color w:val="000000"/>
                <w:szCs w:val="28"/>
              </w:rPr>
              <w:t>高锰酸盐指数</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≤3.0</w:t>
            </w:r>
          </w:p>
        </w:tc>
        <w:tc>
          <w:tcPr>
            <w:tcW w:w="2843" w:type="dxa"/>
            <w:vMerge w:val="continue"/>
            <w:vAlign w:val="center"/>
          </w:tcPr>
          <w:p>
            <w:pPr>
              <w:spacing w:beforeLines="20" w:afterLines="20"/>
              <w:jc w:val="center"/>
              <w:rPr>
                <w:rFonts w:ascii="宋体" w:hAnsi="宋体"/>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ascii="宋体" w:hAnsi="宋体"/>
                <w:color w:val="000000"/>
                <w:szCs w:val="28"/>
              </w:rPr>
              <w:t>砷</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≤0.05</w:t>
            </w:r>
          </w:p>
        </w:tc>
        <w:tc>
          <w:tcPr>
            <w:tcW w:w="2843" w:type="dxa"/>
            <w:vMerge w:val="continue"/>
            <w:vAlign w:val="center"/>
          </w:tcPr>
          <w:p>
            <w:pPr>
              <w:spacing w:beforeLines="20" w:afterLines="20"/>
              <w:jc w:val="center"/>
              <w:rPr>
                <w:rFonts w:ascii="宋体" w:hAnsi="宋体"/>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hint="eastAsia" w:ascii="宋体" w:hAnsi="宋体"/>
                <w:color w:val="000000"/>
                <w:szCs w:val="28"/>
              </w:rPr>
              <w:t>磷酸盐</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w:t>
            </w:r>
            <w:r>
              <w:rPr>
                <w:rFonts w:hint="eastAsia" w:ascii="宋体" w:hAnsi="宋体"/>
                <w:color w:val="000000"/>
                <w:szCs w:val="28"/>
              </w:rPr>
              <w:t>1.0</w:t>
            </w:r>
          </w:p>
        </w:tc>
        <w:tc>
          <w:tcPr>
            <w:tcW w:w="2843" w:type="dxa"/>
            <w:vMerge w:val="continue"/>
            <w:vAlign w:val="center"/>
          </w:tcPr>
          <w:p>
            <w:pPr>
              <w:spacing w:beforeLines="20" w:afterLines="20"/>
              <w:jc w:val="center"/>
              <w:rPr>
                <w:rFonts w:ascii="宋体" w:hAnsi="宋体"/>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842" w:type="dxa"/>
            <w:vAlign w:val="center"/>
          </w:tcPr>
          <w:p>
            <w:pPr>
              <w:spacing w:beforeLines="20" w:afterLines="20"/>
              <w:jc w:val="center"/>
              <w:rPr>
                <w:rFonts w:ascii="宋体" w:hAnsi="宋体"/>
                <w:color w:val="000000"/>
                <w:szCs w:val="28"/>
              </w:rPr>
            </w:pPr>
            <w:r>
              <w:rPr>
                <w:rFonts w:hint="eastAsia" w:ascii="宋体" w:hAnsi="宋体"/>
                <w:color w:val="000000"/>
                <w:szCs w:val="28"/>
              </w:rPr>
              <w:t>硝酸盐氮</w:t>
            </w:r>
          </w:p>
        </w:tc>
        <w:tc>
          <w:tcPr>
            <w:tcW w:w="2842" w:type="dxa"/>
            <w:vAlign w:val="center"/>
          </w:tcPr>
          <w:p>
            <w:pPr>
              <w:spacing w:beforeLines="20" w:afterLines="20"/>
              <w:jc w:val="center"/>
              <w:rPr>
                <w:rFonts w:ascii="宋体" w:hAnsi="宋体"/>
                <w:color w:val="000000"/>
                <w:szCs w:val="28"/>
              </w:rPr>
            </w:pPr>
            <w:r>
              <w:rPr>
                <w:rFonts w:ascii="宋体" w:hAnsi="宋体"/>
                <w:color w:val="000000"/>
                <w:szCs w:val="28"/>
              </w:rPr>
              <w:t>≤</w:t>
            </w:r>
            <w:r>
              <w:rPr>
                <w:rFonts w:hint="eastAsia" w:ascii="宋体" w:hAnsi="宋体"/>
                <w:color w:val="000000"/>
                <w:szCs w:val="28"/>
              </w:rPr>
              <w:t>10.0</w:t>
            </w:r>
          </w:p>
        </w:tc>
        <w:tc>
          <w:tcPr>
            <w:tcW w:w="2843" w:type="dxa"/>
            <w:vMerge w:val="continue"/>
            <w:vAlign w:val="center"/>
          </w:tcPr>
          <w:p>
            <w:pPr>
              <w:spacing w:beforeLines="20" w:afterLines="20"/>
              <w:jc w:val="center"/>
              <w:rPr>
                <w:rFonts w:ascii="宋体" w:hAnsi="宋体"/>
                <w:color w:val="000000"/>
                <w:szCs w:val="21"/>
              </w:rPr>
            </w:pPr>
          </w:p>
        </w:tc>
      </w:tr>
    </w:tbl>
    <w:p>
      <w:pPr>
        <w:spacing w:line="540" w:lineRule="exact"/>
        <w:jc w:val="left"/>
        <w:rPr>
          <w:rFonts w:ascii="宋体" w:hAnsi="宋体" w:cs="宋体-PUA"/>
          <w:b/>
          <w:color w:val="003300"/>
          <w:sz w:val="28"/>
          <w:szCs w:val="32"/>
        </w:rPr>
      </w:pPr>
      <w:r>
        <w:rPr>
          <w:rFonts w:hint="eastAsia" w:ascii="宋体" w:hAnsi="宋体" w:cs="华文仿宋"/>
          <w:color w:val="000000"/>
          <w:sz w:val="32"/>
          <w:szCs w:val="32"/>
        </w:rPr>
        <w:t xml:space="preserve">  </w:t>
      </w:r>
      <w:r>
        <w:rPr>
          <w:rFonts w:hint="eastAsia" w:ascii="宋体" w:hAnsi="宋体" w:cs="宋体-PUA"/>
          <w:b/>
          <w:color w:val="003300"/>
          <w:sz w:val="28"/>
          <w:szCs w:val="32"/>
        </w:rPr>
        <w:t>2、贮灰场环境颗粒物监测</w:t>
      </w:r>
    </w:p>
    <w:p>
      <w:pPr>
        <w:spacing w:line="540" w:lineRule="exact"/>
        <w:ind w:firstLine="560" w:firstLineChars="200"/>
        <w:jc w:val="left"/>
        <w:rPr>
          <w:rFonts w:ascii="宋体" w:hAnsi="宋体" w:cs="宋体-PUA"/>
          <w:color w:val="003300"/>
          <w:sz w:val="28"/>
          <w:szCs w:val="32"/>
        </w:rPr>
      </w:pPr>
      <w:r>
        <w:rPr>
          <w:rFonts w:hint="eastAsia" w:ascii="宋体" w:hAnsi="宋体" w:cs="宋体-PUA"/>
          <w:color w:val="003300"/>
          <w:sz w:val="28"/>
          <w:szCs w:val="32"/>
        </w:rPr>
        <w:t>我们在贮灰场上风向和下风向分别设置一个监测点，监测贮灰场环境颗粒物浓度。</w:t>
      </w:r>
    </w:p>
    <w:p>
      <w:pPr>
        <w:spacing w:line="540" w:lineRule="exact"/>
        <w:ind w:firstLine="560" w:firstLineChars="200"/>
        <w:jc w:val="left"/>
        <w:rPr>
          <w:rFonts w:ascii="宋体" w:hAnsi="宋体" w:cs="宋体-PUA"/>
          <w:color w:val="003300"/>
          <w:sz w:val="28"/>
          <w:szCs w:val="32"/>
        </w:rPr>
      </w:pPr>
      <w:r>
        <w:rPr>
          <w:rFonts w:hint="eastAsia" w:ascii="宋体" w:hAnsi="宋体" w:cs="宋体-PUA"/>
          <w:color w:val="003300"/>
          <w:sz w:val="28"/>
          <w:szCs w:val="32"/>
        </w:rPr>
        <w:t>监测频次：每季度一次</w:t>
      </w:r>
    </w:p>
    <w:p>
      <w:pPr>
        <w:spacing w:line="540" w:lineRule="exact"/>
        <w:ind w:firstLine="560" w:firstLineChars="200"/>
        <w:jc w:val="left"/>
        <w:rPr>
          <w:rFonts w:ascii="宋体" w:hAnsi="宋体" w:cs="宋体-PUA"/>
          <w:color w:val="003300"/>
          <w:sz w:val="28"/>
          <w:szCs w:val="32"/>
        </w:rPr>
      </w:pPr>
      <w:r>
        <w:rPr>
          <w:rFonts w:hint="eastAsia" w:ascii="宋体" w:hAnsi="宋体" w:cs="宋体-PUA"/>
          <w:color w:val="003300"/>
          <w:sz w:val="28"/>
          <w:szCs w:val="32"/>
        </w:rPr>
        <w:t>监测依据：GB/T15432-1995</w:t>
      </w:r>
    </w:p>
    <w:p>
      <w:pPr>
        <w:spacing w:line="540" w:lineRule="exact"/>
        <w:ind w:firstLine="560" w:firstLineChars="200"/>
        <w:jc w:val="left"/>
        <w:rPr>
          <w:rFonts w:ascii="宋体" w:hAnsi="宋体" w:cs="宋体-PUA"/>
          <w:color w:val="003300"/>
          <w:sz w:val="28"/>
          <w:szCs w:val="32"/>
        </w:rPr>
      </w:pPr>
      <w:r>
        <w:rPr>
          <w:rFonts w:hint="eastAsia" w:ascii="宋体" w:hAnsi="宋体" w:cs="宋体-PUA"/>
          <w:color w:val="003300"/>
          <w:sz w:val="28"/>
          <w:szCs w:val="32"/>
        </w:rPr>
        <w:t>浓度标准：1.0mg/m</w:t>
      </w:r>
      <w:r>
        <w:rPr>
          <w:rFonts w:hint="eastAsia" w:ascii="宋体" w:hAnsi="宋体" w:cs="宋体-PUA"/>
          <w:color w:val="003300"/>
          <w:sz w:val="28"/>
          <w:szCs w:val="32"/>
          <w:vertAlign w:val="superscript"/>
        </w:rPr>
        <w:t>3</w:t>
      </w:r>
    </w:p>
    <w:p>
      <w:pPr>
        <w:spacing w:line="540" w:lineRule="exact"/>
        <w:ind w:firstLine="560" w:firstLineChars="200"/>
        <w:jc w:val="left"/>
        <w:rPr>
          <w:rFonts w:ascii="宋体" w:hAnsi="宋体" w:cs="宋体-PUA"/>
          <w:color w:val="003300"/>
          <w:sz w:val="28"/>
          <w:szCs w:val="32"/>
        </w:rPr>
      </w:pPr>
      <w:r>
        <w:rPr>
          <w:rFonts w:hint="eastAsia" w:ascii="宋体" w:hAnsi="宋体" w:cs="宋体-PUA"/>
          <w:color w:val="003300"/>
          <w:sz w:val="28"/>
          <w:szCs w:val="32"/>
        </w:rPr>
        <w:t>标准依据：GB16297-1996</w:t>
      </w:r>
    </w:p>
    <w:p>
      <w:pPr>
        <w:spacing w:line="540" w:lineRule="exact"/>
        <w:ind w:firstLine="560" w:firstLineChars="200"/>
        <w:jc w:val="left"/>
        <w:rPr>
          <w:rFonts w:ascii="宋体" w:hAnsi="宋体" w:cs="宋体-PUA"/>
          <w:sz w:val="28"/>
          <w:szCs w:val="32"/>
        </w:rPr>
      </w:pPr>
      <w:r>
        <w:rPr>
          <w:rFonts w:hint="eastAsia" w:ascii="宋体" w:hAnsi="宋体" w:cs="宋体-PUA"/>
          <w:sz w:val="28"/>
          <w:szCs w:val="32"/>
        </w:rPr>
        <w:t>按照环境影响评价报告书（表）及其批复要求执行。粉煤灰综合利用，我公司利用粉煤灰、石膏作为添加剂生产水泥，并与</w:t>
      </w:r>
      <w:r>
        <w:rPr>
          <w:rFonts w:hint="eastAsia" w:ascii="宋体" w:hAnsi="宋体" w:cs="宋体-PUA"/>
          <w:sz w:val="28"/>
          <w:szCs w:val="32"/>
          <w:lang w:eastAsia="zh-CN"/>
        </w:rPr>
        <w:t>黑龙江省业永昌科技发展有限公司</w:t>
      </w:r>
      <w:r>
        <w:rPr>
          <w:rFonts w:hint="eastAsia" w:ascii="宋体" w:hAnsi="宋体" w:cs="宋体-PUA"/>
          <w:sz w:val="28"/>
          <w:szCs w:val="32"/>
        </w:rPr>
        <w:t>签定粉煤灰</w:t>
      </w:r>
      <w:r>
        <w:rPr>
          <w:rFonts w:hint="eastAsia" w:ascii="宋体" w:hAnsi="宋体" w:cs="宋体-PUA"/>
          <w:sz w:val="28"/>
          <w:szCs w:val="32"/>
          <w:lang w:eastAsia="zh-CN"/>
        </w:rPr>
        <w:t>、炉渣、石膏销售</w:t>
      </w:r>
      <w:r>
        <w:rPr>
          <w:rFonts w:hint="eastAsia" w:ascii="宋体" w:hAnsi="宋体" w:cs="宋体-PUA"/>
          <w:sz w:val="28"/>
          <w:szCs w:val="32"/>
        </w:rPr>
        <w:t>合同。</w:t>
      </w:r>
    </w:p>
    <w:p>
      <w:pPr>
        <w:snapToGrid w:val="0"/>
        <w:spacing w:line="540" w:lineRule="exact"/>
        <w:ind w:firstLine="562" w:firstLineChars="200"/>
        <w:jc w:val="left"/>
        <w:rPr>
          <w:rFonts w:ascii="宋体" w:hAnsi="宋体" w:cs="宋体-PUA"/>
          <w:b/>
          <w:bCs/>
          <w:sz w:val="28"/>
          <w:szCs w:val="32"/>
        </w:rPr>
      </w:pPr>
      <w:r>
        <w:rPr>
          <w:rFonts w:hint="eastAsia" w:ascii="宋体" w:hAnsi="宋体" w:cs="宋体-PUA"/>
          <w:b/>
          <w:kern w:val="0"/>
          <w:sz w:val="28"/>
          <w:szCs w:val="32"/>
        </w:rPr>
        <w:t>三、</w:t>
      </w:r>
      <w:r>
        <w:rPr>
          <w:rFonts w:hint="eastAsia" w:ascii="宋体" w:hAnsi="宋体" w:cs="宋体-PUA"/>
          <w:b/>
          <w:bCs/>
          <w:sz w:val="28"/>
          <w:szCs w:val="32"/>
        </w:rPr>
        <w:t>质量控制和质量保证</w:t>
      </w:r>
    </w:p>
    <w:p>
      <w:pPr>
        <w:spacing w:line="540" w:lineRule="exact"/>
        <w:ind w:firstLine="560" w:firstLineChars="200"/>
        <w:jc w:val="left"/>
        <w:rPr>
          <w:rFonts w:ascii="宋体" w:hAnsi="宋体" w:cs="宋体-PUA"/>
          <w:sz w:val="28"/>
          <w:szCs w:val="32"/>
        </w:rPr>
      </w:pPr>
      <w:r>
        <w:rPr>
          <w:rFonts w:hint="eastAsia" w:ascii="宋体" w:hAnsi="宋体" w:cs="宋体-PUA"/>
          <w:sz w:val="28"/>
          <w:szCs w:val="32"/>
        </w:rPr>
        <w:t>（一）按照《固定污染源监测质量保证与质量控制技术规范》（试行）（HJ/T373-2007）进行。</w:t>
      </w:r>
    </w:p>
    <w:p>
      <w:pPr>
        <w:spacing w:line="540" w:lineRule="exact"/>
        <w:ind w:firstLine="560" w:firstLineChars="200"/>
        <w:jc w:val="left"/>
        <w:rPr>
          <w:rFonts w:ascii="宋体" w:hAnsi="宋体" w:cs="宋体-PUA"/>
          <w:sz w:val="28"/>
          <w:szCs w:val="32"/>
        </w:rPr>
      </w:pPr>
      <w:r>
        <w:rPr>
          <w:rFonts w:hint="eastAsia" w:ascii="宋体" w:hAnsi="宋体" w:cs="宋体-PUA"/>
          <w:sz w:val="28"/>
          <w:szCs w:val="32"/>
        </w:rPr>
        <w:t>（二）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pPr>
        <w:spacing w:line="540" w:lineRule="exact"/>
        <w:ind w:firstLine="560" w:firstLineChars="200"/>
        <w:jc w:val="left"/>
        <w:rPr>
          <w:rFonts w:ascii="宋体" w:hAnsi="宋体" w:cs="宋体-PUA"/>
          <w:sz w:val="28"/>
          <w:szCs w:val="32"/>
        </w:rPr>
      </w:pPr>
      <w:r>
        <w:rPr>
          <w:rFonts w:hint="eastAsia" w:ascii="宋体" w:hAnsi="宋体" w:cs="宋体-PUA"/>
          <w:sz w:val="28"/>
          <w:szCs w:val="32"/>
        </w:rPr>
        <w:t>（三）严格执行监测方案。认真如实填写各项自行监测记录及校验记录并妥善保存记录台帐，包括采样记录、样品保存、分析测试记录、监测报告等。</w:t>
      </w:r>
    </w:p>
    <w:p>
      <w:pPr>
        <w:numPr>
          <w:ilvl w:val="0"/>
          <w:numId w:val="1"/>
        </w:numPr>
        <w:spacing w:line="540" w:lineRule="exact"/>
        <w:jc w:val="left"/>
        <w:rPr>
          <w:rFonts w:ascii="宋体" w:hAnsi="宋体" w:cs="宋体-PUA"/>
          <w:b/>
          <w:bCs/>
          <w:sz w:val="28"/>
          <w:szCs w:val="32"/>
        </w:rPr>
      </w:pPr>
      <w:r>
        <w:rPr>
          <w:rFonts w:hint="eastAsia" w:ascii="宋体" w:hAnsi="宋体" w:cs="宋体-PUA"/>
          <w:b/>
          <w:bCs/>
          <w:sz w:val="28"/>
          <w:szCs w:val="32"/>
        </w:rPr>
        <w:t>自行监测结果公布</w:t>
      </w:r>
    </w:p>
    <w:p>
      <w:pPr>
        <w:pStyle w:val="14"/>
        <w:numPr>
          <w:ilvl w:val="0"/>
          <w:numId w:val="2"/>
        </w:numPr>
        <w:spacing w:line="540" w:lineRule="exact"/>
        <w:ind w:firstLine="560"/>
        <w:jc w:val="left"/>
        <w:rPr>
          <w:rFonts w:ascii="宋体" w:hAnsi="宋体" w:cs="宋体-PUA"/>
          <w:sz w:val="28"/>
          <w:szCs w:val="32"/>
        </w:rPr>
      </w:pPr>
      <w:r>
        <w:rPr>
          <w:rFonts w:hint="eastAsia" w:ascii="宋体" w:hAnsi="宋体" w:cs="宋体-PUA"/>
          <w:sz w:val="28"/>
          <w:szCs w:val="32"/>
        </w:rPr>
        <w:t>对外公布方式：省环境保护厅网站、全国污染源监测信息管理与共享平台。</w:t>
      </w:r>
    </w:p>
    <w:p>
      <w:pPr>
        <w:pStyle w:val="14"/>
        <w:spacing w:line="540" w:lineRule="exact"/>
        <w:ind w:firstLine="0" w:firstLineChars="0"/>
        <w:jc w:val="left"/>
        <w:rPr>
          <w:rFonts w:ascii="宋体" w:hAnsi="宋体" w:cs="宋体-PUA"/>
          <w:sz w:val="28"/>
          <w:szCs w:val="32"/>
        </w:rPr>
      </w:pPr>
      <w:r>
        <w:rPr>
          <w:rFonts w:hint="eastAsia" w:ascii="宋体" w:hAnsi="宋体" w:cs="宋体-PUA"/>
          <w:sz w:val="28"/>
          <w:szCs w:val="32"/>
        </w:rPr>
        <w:t xml:space="preserve">    （二）公布内容：企业名称、排放口及监测点位、监测时间、污染物种类及浓度、标准限值、达标情况、超标倍数、污染物排放方式及排放去向。</w:t>
      </w:r>
    </w:p>
    <w:p>
      <w:pPr>
        <w:snapToGrid w:val="0"/>
        <w:spacing w:line="540" w:lineRule="exact"/>
        <w:ind w:firstLine="560" w:firstLineChars="200"/>
        <w:jc w:val="left"/>
        <w:rPr>
          <w:rFonts w:ascii="宋体" w:hAnsi="宋体" w:cs="宋体-PUA"/>
          <w:sz w:val="28"/>
          <w:szCs w:val="32"/>
        </w:rPr>
      </w:pPr>
      <w:r>
        <w:rPr>
          <w:rFonts w:hint="eastAsia" w:ascii="宋体" w:hAnsi="宋体" w:cs="宋体-PUA"/>
          <w:sz w:val="28"/>
          <w:szCs w:val="32"/>
        </w:rPr>
        <w:t>（三）公布时限：</w:t>
      </w:r>
    </w:p>
    <w:p>
      <w:pPr>
        <w:snapToGrid w:val="0"/>
        <w:spacing w:line="540" w:lineRule="exact"/>
        <w:ind w:firstLine="560" w:firstLineChars="200"/>
        <w:jc w:val="left"/>
        <w:rPr>
          <w:rFonts w:ascii="宋体" w:hAnsi="宋体" w:cs="宋体-PUA"/>
          <w:kern w:val="0"/>
          <w:sz w:val="28"/>
          <w:szCs w:val="32"/>
        </w:rPr>
      </w:pPr>
      <w:r>
        <w:rPr>
          <w:rFonts w:hint="eastAsia" w:ascii="宋体" w:hAnsi="宋体" w:cs="宋体-PUA"/>
          <w:kern w:val="0"/>
          <w:sz w:val="28"/>
          <w:szCs w:val="32"/>
        </w:rPr>
        <w:t>1、自动监测结果</w:t>
      </w:r>
    </w:p>
    <w:p>
      <w:pPr>
        <w:snapToGrid w:val="0"/>
        <w:spacing w:line="540" w:lineRule="exact"/>
        <w:ind w:firstLine="560" w:firstLineChars="200"/>
        <w:jc w:val="left"/>
        <w:rPr>
          <w:rFonts w:cs="宋体-PUA" w:asciiTheme="minorEastAsia" w:hAnsiTheme="minorEastAsia"/>
          <w:kern w:val="0"/>
          <w:sz w:val="28"/>
          <w:szCs w:val="24"/>
        </w:rPr>
      </w:pPr>
      <w:r>
        <w:rPr>
          <w:rFonts w:hint="eastAsia" w:cs="宋体-PUA" w:asciiTheme="minorEastAsia" w:hAnsiTheme="minorEastAsia"/>
          <w:kern w:val="0"/>
          <w:sz w:val="28"/>
          <w:szCs w:val="24"/>
        </w:rPr>
        <w:t>自动监测数据实时公布监测结果（废气自动监测设备为每1小时均值）</w:t>
      </w:r>
      <w:r>
        <w:rPr>
          <w:rFonts w:hint="eastAsia" w:asciiTheme="minorEastAsia" w:hAnsiTheme="minorEastAsia"/>
          <w:color w:val="000000"/>
          <w:kern w:val="0"/>
          <w:sz w:val="28"/>
          <w:szCs w:val="24"/>
        </w:rPr>
        <w:t>，次日公布。</w:t>
      </w:r>
    </w:p>
    <w:p>
      <w:pPr>
        <w:snapToGrid w:val="0"/>
        <w:spacing w:line="540" w:lineRule="exact"/>
        <w:ind w:firstLine="560" w:firstLineChars="200"/>
        <w:jc w:val="left"/>
        <w:rPr>
          <w:rFonts w:ascii="宋体" w:hAnsi="宋体" w:cs="宋体-PUA"/>
          <w:kern w:val="0"/>
          <w:sz w:val="28"/>
          <w:szCs w:val="32"/>
        </w:rPr>
      </w:pPr>
      <w:r>
        <w:rPr>
          <w:rFonts w:hint="eastAsia" w:ascii="宋体" w:hAnsi="宋体" w:cs="宋体-PUA"/>
          <w:kern w:val="0"/>
          <w:sz w:val="28"/>
          <w:szCs w:val="32"/>
        </w:rPr>
        <w:t>2、手工监测结果</w:t>
      </w:r>
    </w:p>
    <w:p>
      <w:pPr>
        <w:snapToGrid w:val="0"/>
        <w:spacing w:line="540" w:lineRule="exact"/>
        <w:ind w:firstLine="560" w:firstLineChars="200"/>
        <w:jc w:val="left"/>
        <w:rPr>
          <w:rFonts w:ascii="宋体" w:hAnsi="宋体" w:cs="宋体-PUA"/>
          <w:kern w:val="0"/>
          <w:sz w:val="28"/>
          <w:szCs w:val="32"/>
        </w:rPr>
      </w:pPr>
      <w:r>
        <w:rPr>
          <w:rFonts w:hint="eastAsia" w:ascii="宋体" w:hAnsi="宋体" w:cs="宋体-PUA"/>
          <w:kern w:val="0"/>
          <w:sz w:val="28"/>
          <w:szCs w:val="32"/>
        </w:rPr>
        <w:t>手工监测结果应于每次监测截止日期前公布。</w:t>
      </w:r>
    </w:p>
    <w:p>
      <w:pPr>
        <w:pStyle w:val="14"/>
        <w:spacing w:line="360" w:lineRule="auto"/>
        <w:ind w:firstLine="0" w:firstLineChars="0"/>
        <w:rPr>
          <w:rFonts w:hint="eastAsia" w:ascii="宋体" w:hAnsi="宋体" w:cs="宋体-PUA"/>
          <w:b/>
          <w:sz w:val="28"/>
          <w:szCs w:val="28"/>
        </w:rPr>
      </w:pPr>
    </w:p>
    <w:p>
      <w:pPr>
        <w:pStyle w:val="14"/>
        <w:spacing w:line="360" w:lineRule="auto"/>
        <w:ind w:firstLine="0" w:firstLineChars="0"/>
        <w:rPr>
          <w:rFonts w:hint="eastAsia" w:ascii="宋体" w:hAnsi="宋体" w:cs="宋体-PUA"/>
          <w:b/>
          <w:sz w:val="28"/>
          <w:szCs w:val="28"/>
        </w:rPr>
      </w:pPr>
    </w:p>
    <w:p>
      <w:pPr>
        <w:pStyle w:val="14"/>
        <w:spacing w:line="360" w:lineRule="auto"/>
        <w:ind w:firstLine="0" w:firstLineChars="0"/>
        <w:rPr>
          <w:rFonts w:hint="eastAsia" w:ascii="宋体" w:hAnsi="宋体" w:cs="宋体-PUA"/>
          <w:b/>
          <w:sz w:val="28"/>
          <w:szCs w:val="28"/>
        </w:rPr>
      </w:pPr>
    </w:p>
    <w:p>
      <w:pPr>
        <w:pStyle w:val="14"/>
        <w:spacing w:line="360" w:lineRule="auto"/>
        <w:ind w:firstLine="0" w:firstLineChars="0"/>
        <w:rPr>
          <w:rFonts w:hint="eastAsia" w:ascii="宋体" w:hAnsi="宋体" w:cs="宋体-PUA"/>
          <w:b/>
          <w:sz w:val="28"/>
          <w:szCs w:val="28"/>
        </w:rPr>
      </w:pPr>
    </w:p>
    <w:p>
      <w:pPr>
        <w:pStyle w:val="14"/>
        <w:spacing w:line="360" w:lineRule="auto"/>
        <w:ind w:firstLine="0" w:firstLineChars="0"/>
        <w:rPr>
          <w:rFonts w:ascii="宋体" w:hAnsi="宋体" w:cs="宋体-PUA"/>
          <w:b/>
          <w:sz w:val="28"/>
          <w:szCs w:val="28"/>
        </w:rPr>
      </w:pPr>
      <w:r>
        <w:rPr>
          <w:rFonts w:hint="eastAsia" w:ascii="宋体" w:hAnsi="宋体" w:cs="宋体-PUA"/>
          <w:b/>
          <w:sz w:val="28"/>
          <w:szCs w:val="28"/>
        </w:rPr>
        <w:t>附件1 厂区平面布置及噪声点位布设示意图</w:t>
      </w:r>
    </w:p>
    <w:p>
      <w:pPr>
        <w:pStyle w:val="14"/>
        <w:spacing w:line="360" w:lineRule="auto"/>
        <w:ind w:firstLine="0" w:firstLineChars="0"/>
        <w:rPr>
          <w:rFonts w:ascii="宋体" w:hAnsi="宋体" w:cs="宋体-PUA"/>
          <w:b/>
          <w:sz w:val="28"/>
          <w:szCs w:val="28"/>
        </w:rPr>
      </w:pPr>
    </w:p>
    <w:p>
      <w:pPr>
        <w:pStyle w:val="14"/>
        <w:spacing w:line="360" w:lineRule="auto"/>
        <w:ind w:firstLine="0" w:firstLineChars="0"/>
        <w:rPr>
          <w:rFonts w:ascii="宋体" w:hAnsi="宋体" w:cs="宋体-PUA"/>
          <w:b/>
          <w:sz w:val="28"/>
        </w:rPr>
      </w:pPr>
      <w:r>
        <w:rPr>
          <w:rFonts w:ascii="宋体" w:hAnsi="宋体"/>
        </w:rPr>
        <w:drawing>
          <wp:inline distT="0" distB="0" distL="0" distR="0">
            <wp:extent cx="5362575" cy="7315200"/>
            <wp:effectExtent l="19050" t="0" r="9525" b="0"/>
            <wp:docPr id="10" name="图片 1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
                    <pic:cNvPicPr>
                      <a:picLocks noChangeAspect="1" noChangeArrowheads="1"/>
                    </pic:cNvPicPr>
                  </pic:nvPicPr>
                  <pic:blipFill>
                    <a:blip r:embed="rId15"/>
                    <a:srcRect/>
                    <a:stretch>
                      <a:fillRect/>
                    </a:stretch>
                  </pic:blipFill>
                  <pic:spPr>
                    <a:xfrm>
                      <a:off x="0" y="0"/>
                      <a:ext cx="5362575" cy="7315200"/>
                    </a:xfrm>
                    <a:prstGeom prst="rect">
                      <a:avLst/>
                    </a:prstGeom>
                    <a:noFill/>
                    <a:ln w="9525">
                      <a:noFill/>
                      <a:miter lim="800000"/>
                      <a:headEnd/>
                      <a:tailEnd/>
                    </a:ln>
                  </pic:spPr>
                </pic:pic>
              </a:graphicData>
            </a:graphic>
          </wp:inline>
        </w:drawing>
      </w:r>
      <w:r>
        <w:rPr>
          <w:rFonts w:ascii="宋体" w:hAnsi="宋体" w:cs="宋体-PUA"/>
        </w:rPr>
        <w:pict>
          <v:shape id="_x0000_s2050" o:spid="_x0000_s2050" o:spt="109" type="#_x0000_t109" style="position:absolute;left:0pt;margin-left:495pt;margin-top:32.35pt;height:23.4pt;width:36pt;z-index:251660288;mso-width-relative:page;mso-height-relative:page;" filled="f" stroked="f" coordsize="21600,21600">
            <v:path/>
            <v:fill on="f" focussize="0,0"/>
            <v:stroke on="f" joinstyle="miter"/>
            <v:imagedata o:title=""/>
            <o:lock v:ext="edit"/>
            <v:textbox>
              <w:txbxContent>
                <w:p/>
              </w:txbxContent>
            </v:textbox>
          </v:shape>
        </w:pict>
      </w:r>
    </w:p>
    <w:p/>
    <w:p/>
    <w:p/>
    <w:p>
      <w:pPr>
        <w:sectPr>
          <w:footerReference r:id="rId3" w:type="first"/>
          <w:pgSz w:w="11906" w:h="16838"/>
          <w:pgMar w:top="1440" w:right="1800" w:bottom="1440" w:left="1800" w:header="851" w:footer="992" w:gutter="0"/>
          <w:cols w:space="425" w:num="1"/>
          <w:docGrid w:type="lines" w:linePitch="312" w:charSpace="0"/>
        </w:sectPr>
      </w:pPr>
      <w:bookmarkStart w:id="0" w:name="_GoBack"/>
      <w:bookmarkEnd w:id="0"/>
    </w:p>
    <w:p>
      <w:pPr>
        <w:jc w:val="left"/>
        <w:rPr>
          <w:b/>
          <w:sz w:val="24"/>
          <w:szCs w:val="24"/>
        </w:rPr>
      </w:pPr>
      <w:r>
        <w:rPr>
          <w:rFonts w:hint="eastAsia"/>
          <w:b/>
          <w:sz w:val="24"/>
          <w:szCs w:val="24"/>
        </w:rPr>
        <w:t>排污许可证中废气、废水、无组织监测方案如下：</w:t>
      </w:r>
    </w:p>
    <w:p>
      <w:pPr>
        <w:jc w:val="center"/>
        <w:rPr>
          <w:b/>
          <w:sz w:val="24"/>
          <w:szCs w:val="24"/>
        </w:rPr>
      </w:pPr>
      <w:r>
        <w:rPr>
          <w:rFonts w:hint="eastAsia"/>
          <w:b/>
          <w:sz w:val="24"/>
          <w:szCs w:val="24"/>
        </w:rPr>
        <w:t>废气监测方案</w:t>
      </w:r>
    </w:p>
    <w:tbl>
      <w:tblPr>
        <w:tblStyle w:val="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67"/>
        <w:gridCol w:w="1134"/>
        <w:gridCol w:w="1505"/>
        <w:gridCol w:w="1472"/>
        <w:gridCol w:w="1417"/>
        <w:gridCol w:w="1276"/>
        <w:gridCol w:w="1134"/>
        <w:gridCol w:w="1418"/>
        <w:gridCol w:w="1842"/>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84" w:type="dxa"/>
            <w:vAlign w:val="center"/>
          </w:tcPr>
          <w:p>
            <w:pPr>
              <w:pStyle w:val="2"/>
              <w:adjustRightInd w:val="0"/>
              <w:snapToGrid w:val="0"/>
              <w:spacing w:line="240" w:lineRule="auto"/>
              <w:jc w:val="center"/>
              <w:rPr>
                <w:szCs w:val="21"/>
              </w:rPr>
            </w:pPr>
            <w:r>
              <w:rPr>
                <w:rFonts w:hint="eastAsia"/>
                <w:szCs w:val="21"/>
              </w:rPr>
              <w:t>排放设备</w:t>
            </w:r>
          </w:p>
        </w:tc>
        <w:tc>
          <w:tcPr>
            <w:tcW w:w="767" w:type="dxa"/>
            <w:vAlign w:val="center"/>
          </w:tcPr>
          <w:p>
            <w:pPr>
              <w:pStyle w:val="2"/>
              <w:adjustRightInd w:val="0"/>
              <w:snapToGrid w:val="0"/>
              <w:spacing w:line="240" w:lineRule="auto"/>
              <w:jc w:val="center"/>
              <w:rPr>
                <w:szCs w:val="21"/>
              </w:rPr>
            </w:pPr>
            <w:r>
              <w:rPr>
                <w:rFonts w:hint="eastAsia"/>
                <w:szCs w:val="21"/>
              </w:rPr>
              <w:t>设备类型</w:t>
            </w:r>
          </w:p>
        </w:tc>
        <w:tc>
          <w:tcPr>
            <w:tcW w:w="1134" w:type="dxa"/>
            <w:vAlign w:val="center"/>
          </w:tcPr>
          <w:p>
            <w:pPr>
              <w:pStyle w:val="2"/>
              <w:adjustRightInd w:val="0"/>
              <w:snapToGrid w:val="0"/>
              <w:spacing w:line="240" w:lineRule="auto"/>
              <w:ind w:firstLine="210" w:firstLineChars="100"/>
              <w:rPr>
                <w:szCs w:val="21"/>
              </w:rPr>
            </w:pPr>
            <w:r>
              <w:rPr>
                <w:rFonts w:hint="eastAsia"/>
                <w:szCs w:val="21"/>
              </w:rPr>
              <w:t>编号</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监测点</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监测指标</w:t>
            </w:r>
          </w:p>
        </w:tc>
        <w:tc>
          <w:tcPr>
            <w:tcW w:w="1417" w:type="dxa"/>
            <w:vAlign w:val="center"/>
          </w:tcPr>
          <w:p>
            <w:pPr>
              <w:pStyle w:val="2"/>
              <w:adjustRightInd w:val="0"/>
              <w:snapToGrid w:val="0"/>
              <w:spacing w:line="240" w:lineRule="auto"/>
              <w:jc w:val="center"/>
              <w:rPr>
                <w:szCs w:val="21"/>
              </w:rPr>
            </w:pPr>
            <w:r>
              <w:rPr>
                <w:rFonts w:hint="eastAsia"/>
                <w:szCs w:val="21"/>
              </w:rPr>
              <w:t>排放限值</w:t>
            </w:r>
          </w:p>
        </w:tc>
        <w:tc>
          <w:tcPr>
            <w:tcW w:w="1276" w:type="dxa"/>
            <w:vAlign w:val="center"/>
          </w:tcPr>
          <w:p>
            <w:pPr>
              <w:pStyle w:val="2"/>
              <w:adjustRightInd w:val="0"/>
              <w:snapToGrid w:val="0"/>
              <w:spacing w:line="240" w:lineRule="auto"/>
              <w:jc w:val="center"/>
              <w:rPr>
                <w:szCs w:val="21"/>
              </w:rPr>
            </w:pPr>
            <w:r>
              <w:rPr>
                <w:rFonts w:hint="eastAsia"/>
                <w:szCs w:val="21"/>
              </w:rPr>
              <w:t>执行标准</w:t>
            </w:r>
          </w:p>
        </w:tc>
        <w:tc>
          <w:tcPr>
            <w:tcW w:w="1134" w:type="dxa"/>
            <w:vAlign w:val="center"/>
          </w:tcPr>
          <w:p>
            <w:pPr>
              <w:pStyle w:val="2"/>
              <w:adjustRightInd w:val="0"/>
              <w:snapToGrid w:val="0"/>
              <w:spacing w:line="240" w:lineRule="auto"/>
              <w:jc w:val="center"/>
              <w:rPr>
                <w:szCs w:val="21"/>
              </w:rPr>
            </w:pPr>
            <w:r>
              <w:rPr>
                <w:rFonts w:hint="eastAsia"/>
                <w:szCs w:val="21"/>
              </w:rPr>
              <w:t>监测方式</w:t>
            </w:r>
          </w:p>
        </w:tc>
        <w:tc>
          <w:tcPr>
            <w:tcW w:w="1418" w:type="dxa"/>
            <w:vAlign w:val="center"/>
          </w:tcPr>
          <w:p>
            <w:pPr>
              <w:pStyle w:val="2"/>
              <w:adjustRightInd w:val="0"/>
              <w:snapToGrid w:val="0"/>
              <w:spacing w:line="240" w:lineRule="auto"/>
              <w:jc w:val="center"/>
              <w:rPr>
                <w:szCs w:val="21"/>
              </w:rPr>
            </w:pPr>
            <w:r>
              <w:rPr>
                <w:rFonts w:hint="eastAsia"/>
                <w:szCs w:val="21"/>
              </w:rPr>
              <w:t>监测频次</w:t>
            </w:r>
          </w:p>
        </w:tc>
        <w:tc>
          <w:tcPr>
            <w:tcW w:w="1842" w:type="dxa"/>
            <w:vAlign w:val="center"/>
          </w:tcPr>
          <w:p>
            <w:pPr>
              <w:pStyle w:val="2"/>
              <w:adjustRightInd w:val="0"/>
              <w:snapToGrid w:val="0"/>
              <w:spacing w:line="240" w:lineRule="auto"/>
              <w:jc w:val="center"/>
              <w:rPr>
                <w:szCs w:val="21"/>
              </w:rPr>
            </w:pPr>
            <w:r>
              <w:rPr>
                <w:rFonts w:hint="eastAsia"/>
                <w:szCs w:val="21"/>
              </w:rPr>
              <w:t>监测方法</w:t>
            </w:r>
          </w:p>
        </w:tc>
        <w:tc>
          <w:tcPr>
            <w:tcW w:w="1025" w:type="dxa"/>
            <w:vAlign w:val="center"/>
          </w:tcPr>
          <w:p>
            <w:pPr>
              <w:pStyle w:val="2"/>
              <w:adjustRightInd w:val="0"/>
              <w:snapToGrid w:val="0"/>
              <w:spacing w:line="240" w:lineRule="auto"/>
              <w:jc w:val="center"/>
              <w:rPr>
                <w:szCs w:val="21"/>
              </w:rPr>
            </w:pPr>
            <w:r>
              <w:rPr>
                <w:rFonts w:hint="eastAsia"/>
                <w:szCs w:val="21"/>
              </w:rPr>
              <w:t>主要仪器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热源炉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MF0129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废气监测点1</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二氧化硫</w:t>
            </w:r>
          </w:p>
        </w:tc>
        <w:tc>
          <w:tcPr>
            <w:tcW w:w="1417" w:type="dxa"/>
            <w:vAlign w:val="center"/>
          </w:tcPr>
          <w:p>
            <w:pPr>
              <w:pStyle w:val="2"/>
              <w:adjustRightInd w:val="0"/>
              <w:snapToGrid w:val="0"/>
              <w:spacing w:line="240" w:lineRule="auto"/>
              <w:jc w:val="center"/>
              <w:rPr>
                <w:szCs w:val="21"/>
              </w:rPr>
            </w:pPr>
            <w:r>
              <w:rPr>
                <w:rFonts w:hint="eastAsia"/>
                <w:szCs w:val="21"/>
              </w:rPr>
              <w:t>上限：400mg/Nm3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1次/1天</w:t>
            </w:r>
          </w:p>
        </w:tc>
        <w:tc>
          <w:tcPr>
            <w:tcW w:w="1842" w:type="dxa"/>
            <w:vAlign w:val="center"/>
          </w:tcPr>
          <w:p>
            <w:pPr>
              <w:pStyle w:val="2"/>
              <w:adjustRightInd w:val="0"/>
              <w:snapToGrid w:val="0"/>
              <w:spacing w:line="240" w:lineRule="auto"/>
              <w:jc w:val="center"/>
              <w:rPr>
                <w:szCs w:val="21"/>
              </w:rPr>
            </w:pPr>
            <w:r>
              <w:rPr>
                <w:rFonts w:hint="eastAsia"/>
                <w:szCs w:val="21"/>
              </w:rPr>
              <w:t>固定污染源排气中二氧化硫的测定 定电位电解法HJ/T 57-2000</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热源炉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MF0129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废气监测点1</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烟尘</w:t>
            </w:r>
          </w:p>
        </w:tc>
        <w:tc>
          <w:tcPr>
            <w:tcW w:w="1417" w:type="dxa"/>
            <w:vAlign w:val="center"/>
          </w:tcPr>
          <w:p>
            <w:pPr>
              <w:pStyle w:val="2"/>
              <w:adjustRightInd w:val="0"/>
              <w:snapToGrid w:val="0"/>
              <w:spacing w:line="240" w:lineRule="auto"/>
              <w:jc w:val="center"/>
              <w:rPr>
                <w:szCs w:val="21"/>
              </w:rPr>
            </w:pPr>
            <w:r>
              <w:rPr>
                <w:rFonts w:hint="eastAsia"/>
                <w:szCs w:val="21"/>
              </w:rPr>
              <w:t>上限：80mg/Nm3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1次/1天</w:t>
            </w:r>
          </w:p>
        </w:tc>
        <w:tc>
          <w:tcPr>
            <w:tcW w:w="1842" w:type="dxa"/>
            <w:vAlign w:val="center"/>
          </w:tcPr>
          <w:p>
            <w:pPr>
              <w:pStyle w:val="2"/>
              <w:adjustRightInd w:val="0"/>
              <w:snapToGrid w:val="0"/>
              <w:spacing w:line="240" w:lineRule="auto"/>
              <w:jc w:val="center"/>
              <w:rPr>
                <w:szCs w:val="21"/>
              </w:rPr>
            </w:pPr>
            <w:r>
              <w:rPr>
                <w:rFonts w:hint="eastAsia"/>
                <w:szCs w:val="21"/>
              </w:rPr>
              <w:t>重量法</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热源炉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MF0129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废气监测点1</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汞及其化合物</w:t>
            </w:r>
          </w:p>
        </w:tc>
        <w:tc>
          <w:tcPr>
            <w:tcW w:w="1417" w:type="dxa"/>
            <w:vAlign w:val="center"/>
          </w:tcPr>
          <w:p>
            <w:pPr>
              <w:pStyle w:val="2"/>
              <w:adjustRightInd w:val="0"/>
              <w:snapToGrid w:val="0"/>
              <w:spacing w:line="240" w:lineRule="auto"/>
              <w:jc w:val="center"/>
              <w:rPr>
                <w:szCs w:val="21"/>
              </w:rPr>
            </w:pPr>
            <w:r>
              <w:rPr>
                <w:rFonts w:hint="eastAsia"/>
                <w:szCs w:val="21"/>
              </w:rPr>
              <w:t>上限：0.05mg/Nm3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分光光度法</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热源炉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MF0129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废气监测点1</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林格曼黑度</w:t>
            </w:r>
          </w:p>
        </w:tc>
        <w:tc>
          <w:tcPr>
            <w:tcW w:w="1417" w:type="dxa"/>
            <w:vAlign w:val="center"/>
          </w:tcPr>
          <w:p>
            <w:pPr>
              <w:pStyle w:val="2"/>
              <w:adjustRightInd w:val="0"/>
              <w:snapToGrid w:val="0"/>
              <w:spacing w:line="240" w:lineRule="auto"/>
              <w:jc w:val="center"/>
              <w:rPr>
                <w:szCs w:val="21"/>
              </w:rPr>
            </w:pPr>
            <w:r>
              <w:rPr>
                <w:rFonts w:hint="eastAsia"/>
                <w:szCs w:val="21"/>
              </w:rPr>
              <w:t>上限：1mg/Nm3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固定污染源排放烟气黑度的测定 林格曼烟气黑度图法HJ/T 398-2007</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热源炉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MF0129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废气监测点1</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氮氧化物</w:t>
            </w:r>
          </w:p>
        </w:tc>
        <w:tc>
          <w:tcPr>
            <w:tcW w:w="1417" w:type="dxa"/>
            <w:vAlign w:val="center"/>
          </w:tcPr>
          <w:p>
            <w:pPr>
              <w:pStyle w:val="2"/>
              <w:adjustRightInd w:val="0"/>
              <w:snapToGrid w:val="0"/>
              <w:spacing w:line="240" w:lineRule="auto"/>
              <w:jc w:val="center"/>
              <w:rPr>
                <w:szCs w:val="21"/>
              </w:rPr>
            </w:pPr>
            <w:r>
              <w:rPr>
                <w:rFonts w:hint="eastAsia"/>
                <w:szCs w:val="21"/>
              </w:rPr>
              <w:t>上限：400mg/Nm3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1次/1天</w:t>
            </w:r>
          </w:p>
        </w:tc>
        <w:tc>
          <w:tcPr>
            <w:tcW w:w="1842" w:type="dxa"/>
            <w:vAlign w:val="center"/>
          </w:tcPr>
          <w:p>
            <w:pPr>
              <w:pStyle w:val="2"/>
              <w:adjustRightInd w:val="0"/>
              <w:snapToGrid w:val="0"/>
              <w:spacing w:line="240" w:lineRule="auto"/>
              <w:jc w:val="center"/>
              <w:rPr>
                <w:szCs w:val="21"/>
              </w:rPr>
            </w:pPr>
            <w:r>
              <w:rPr>
                <w:rFonts w:hint="eastAsia"/>
                <w:szCs w:val="21"/>
              </w:rPr>
              <w:t>固定污染源废气 氮氧化物的测定 定电位电解法HJ 693-2014</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MF0082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废气监测点2</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烟尘</w:t>
            </w:r>
          </w:p>
        </w:tc>
        <w:tc>
          <w:tcPr>
            <w:tcW w:w="1417" w:type="dxa"/>
            <w:vAlign w:val="center"/>
          </w:tcPr>
          <w:p>
            <w:pPr>
              <w:pStyle w:val="2"/>
              <w:adjustRightInd w:val="0"/>
              <w:snapToGrid w:val="0"/>
              <w:spacing w:line="240" w:lineRule="auto"/>
              <w:jc w:val="center"/>
              <w:rPr>
                <w:szCs w:val="21"/>
              </w:rPr>
            </w:pPr>
            <w:r>
              <w:rPr>
                <w:rFonts w:hint="eastAsia"/>
                <w:szCs w:val="21"/>
              </w:rPr>
              <w:t>上限：30mg/Nm3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重量法</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MF0082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废气监测点2</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氮氧化物</w:t>
            </w:r>
          </w:p>
        </w:tc>
        <w:tc>
          <w:tcPr>
            <w:tcW w:w="1417" w:type="dxa"/>
            <w:vAlign w:val="center"/>
          </w:tcPr>
          <w:p>
            <w:pPr>
              <w:pStyle w:val="2"/>
              <w:adjustRightInd w:val="0"/>
              <w:snapToGrid w:val="0"/>
              <w:spacing w:line="240" w:lineRule="auto"/>
              <w:jc w:val="center"/>
              <w:rPr>
                <w:szCs w:val="21"/>
              </w:rPr>
            </w:pPr>
            <w:r>
              <w:rPr>
                <w:rFonts w:hint="eastAsia"/>
                <w:szCs w:val="21"/>
              </w:rPr>
              <w:t>上限：200mg/Nm3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固定污染源废气 氮氧化物的测定 定电位电解法HJ 693-2014</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MF0082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废气监测点2</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汞及其化合物</w:t>
            </w:r>
          </w:p>
        </w:tc>
        <w:tc>
          <w:tcPr>
            <w:tcW w:w="1417" w:type="dxa"/>
            <w:vAlign w:val="center"/>
          </w:tcPr>
          <w:p>
            <w:pPr>
              <w:pStyle w:val="2"/>
              <w:adjustRightInd w:val="0"/>
              <w:snapToGrid w:val="0"/>
              <w:spacing w:line="240" w:lineRule="auto"/>
              <w:jc w:val="center"/>
              <w:rPr>
                <w:szCs w:val="21"/>
              </w:rPr>
            </w:pPr>
            <w:r>
              <w:rPr>
                <w:rFonts w:hint="eastAsia"/>
                <w:szCs w:val="21"/>
              </w:rPr>
              <w:t>上限：0.03mg/Nm3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分光光度法</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MF0082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废气监测点2</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二氧化硫</w:t>
            </w:r>
          </w:p>
        </w:tc>
        <w:tc>
          <w:tcPr>
            <w:tcW w:w="1417" w:type="dxa"/>
            <w:vAlign w:val="center"/>
          </w:tcPr>
          <w:p>
            <w:pPr>
              <w:pStyle w:val="2"/>
              <w:adjustRightInd w:val="0"/>
              <w:snapToGrid w:val="0"/>
              <w:spacing w:line="240" w:lineRule="auto"/>
              <w:jc w:val="center"/>
              <w:rPr>
                <w:szCs w:val="21"/>
              </w:rPr>
            </w:pPr>
            <w:r>
              <w:rPr>
                <w:rFonts w:hint="eastAsia"/>
                <w:szCs w:val="21"/>
              </w:rPr>
              <w:t>上限：200mg/Nm3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固定污染源排气中二氧化硫的测定 定电位电解法HJ/T 57-2000</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MF0082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废气监测点2</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林格曼黑度</w:t>
            </w:r>
          </w:p>
        </w:tc>
        <w:tc>
          <w:tcPr>
            <w:tcW w:w="1417" w:type="dxa"/>
            <w:vAlign w:val="center"/>
          </w:tcPr>
          <w:p>
            <w:pPr>
              <w:pStyle w:val="2"/>
              <w:adjustRightInd w:val="0"/>
              <w:snapToGrid w:val="0"/>
              <w:spacing w:line="240" w:lineRule="auto"/>
              <w:jc w:val="center"/>
              <w:rPr>
                <w:szCs w:val="21"/>
              </w:rPr>
            </w:pPr>
            <w:r>
              <w:rPr>
                <w:rFonts w:hint="eastAsia"/>
                <w:szCs w:val="21"/>
              </w:rPr>
              <w:t>上限：1mg/Nm3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固定污染源排放烟气黑度的测定 林格曼烟气黑度图法HJ/T 398-2007</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MF0125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废气监测点3</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氮氧化物</w:t>
            </w:r>
          </w:p>
        </w:tc>
        <w:tc>
          <w:tcPr>
            <w:tcW w:w="1417" w:type="dxa"/>
            <w:vAlign w:val="center"/>
          </w:tcPr>
          <w:p>
            <w:pPr>
              <w:pStyle w:val="2"/>
              <w:adjustRightInd w:val="0"/>
              <w:snapToGrid w:val="0"/>
              <w:spacing w:line="240" w:lineRule="auto"/>
              <w:jc w:val="center"/>
              <w:rPr>
                <w:szCs w:val="21"/>
              </w:rPr>
            </w:pPr>
            <w:r>
              <w:rPr>
                <w:rFonts w:hint="eastAsia"/>
                <w:szCs w:val="21"/>
              </w:rPr>
              <w:t>上限：200mg/Nm3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固定污染源废气 氮氧化物的测定 定电位电解法HJ 693-2014</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MF0125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废气监测点3</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汞及其化合物</w:t>
            </w:r>
          </w:p>
        </w:tc>
        <w:tc>
          <w:tcPr>
            <w:tcW w:w="1417" w:type="dxa"/>
            <w:vAlign w:val="center"/>
          </w:tcPr>
          <w:p>
            <w:pPr>
              <w:pStyle w:val="2"/>
              <w:adjustRightInd w:val="0"/>
              <w:snapToGrid w:val="0"/>
              <w:spacing w:line="240" w:lineRule="auto"/>
              <w:jc w:val="center"/>
              <w:rPr>
                <w:szCs w:val="21"/>
              </w:rPr>
            </w:pPr>
            <w:r>
              <w:rPr>
                <w:rFonts w:hint="eastAsia"/>
                <w:szCs w:val="21"/>
              </w:rPr>
              <w:t>上限：0.03mg/Nm3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分光光度法</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MF0125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废气监测点3</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烟尘</w:t>
            </w:r>
          </w:p>
        </w:tc>
        <w:tc>
          <w:tcPr>
            <w:tcW w:w="1417" w:type="dxa"/>
            <w:vAlign w:val="center"/>
          </w:tcPr>
          <w:p>
            <w:pPr>
              <w:pStyle w:val="2"/>
              <w:adjustRightInd w:val="0"/>
              <w:snapToGrid w:val="0"/>
              <w:spacing w:line="240" w:lineRule="auto"/>
              <w:jc w:val="center"/>
              <w:rPr>
                <w:szCs w:val="21"/>
              </w:rPr>
            </w:pPr>
            <w:r>
              <w:rPr>
                <w:rFonts w:hint="eastAsia"/>
                <w:szCs w:val="21"/>
              </w:rPr>
              <w:t>上限：30mg/Nm3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重量法</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MF0125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废气监测点3</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林格曼黑度</w:t>
            </w:r>
          </w:p>
        </w:tc>
        <w:tc>
          <w:tcPr>
            <w:tcW w:w="1417" w:type="dxa"/>
            <w:vAlign w:val="center"/>
          </w:tcPr>
          <w:p>
            <w:pPr>
              <w:pStyle w:val="2"/>
              <w:adjustRightInd w:val="0"/>
              <w:snapToGrid w:val="0"/>
              <w:spacing w:line="240" w:lineRule="auto"/>
              <w:jc w:val="center"/>
              <w:rPr>
                <w:szCs w:val="21"/>
              </w:rPr>
            </w:pPr>
            <w:r>
              <w:rPr>
                <w:rFonts w:hint="eastAsia"/>
                <w:szCs w:val="21"/>
              </w:rPr>
              <w:t>上限：1mg/Nm3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手工</w:t>
            </w:r>
          </w:p>
        </w:tc>
        <w:tc>
          <w:tcPr>
            <w:tcW w:w="1418" w:type="dxa"/>
            <w:vAlign w:val="center"/>
          </w:tcPr>
          <w:p>
            <w:pPr>
              <w:pStyle w:val="2"/>
              <w:adjustRightInd w:val="0"/>
              <w:snapToGrid w:val="0"/>
              <w:spacing w:line="240" w:lineRule="auto"/>
              <w:jc w:val="center"/>
              <w:rPr>
                <w:szCs w:val="21"/>
              </w:rPr>
            </w:pPr>
            <w:r>
              <w:rPr>
                <w:rFonts w:hint="eastAsia"/>
                <w:szCs w:val="21"/>
              </w:rPr>
              <w:t>1次/1季度</w:t>
            </w:r>
          </w:p>
        </w:tc>
        <w:tc>
          <w:tcPr>
            <w:tcW w:w="1842" w:type="dxa"/>
            <w:vAlign w:val="center"/>
          </w:tcPr>
          <w:p>
            <w:pPr>
              <w:pStyle w:val="2"/>
              <w:adjustRightInd w:val="0"/>
              <w:snapToGrid w:val="0"/>
              <w:spacing w:line="240" w:lineRule="auto"/>
              <w:jc w:val="center"/>
              <w:rPr>
                <w:szCs w:val="21"/>
              </w:rPr>
            </w:pPr>
            <w:r>
              <w:rPr>
                <w:rFonts w:hint="eastAsia"/>
                <w:szCs w:val="21"/>
              </w:rPr>
              <w:t>固定污染源排放烟气黑度的测定 林格曼烟气黑度图法HJ/T 398-2007</w:t>
            </w:r>
          </w:p>
        </w:tc>
        <w:tc>
          <w:tcPr>
            <w:tcW w:w="1025" w:type="dxa"/>
            <w:vAlign w:val="center"/>
          </w:tcPr>
          <w:p>
            <w:pPr>
              <w:pStyle w:val="2"/>
              <w:adjustRightInd w:val="0"/>
              <w:snapToGrid w:val="0"/>
              <w:spacing w:line="240" w:lineRule="auto"/>
              <w:jc w:val="center"/>
              <w:rPr>
                <w:szCs w:val="21"/>
              </w:rPr>
            </w:pP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4" w:type="dxa"/>
            <w:vAlign w:val="center"/>
          </w:tcPr>
          <w:p>
            <w:pPr>
              <w:pStyle w:val="2"/>
              <w:adjustRightInd w:val="0"/>
              <w:snapToGrid w:val="0"/>
              <w:spacing w:line="240" w:lineRule="auto"/>
              <w:jc w:val="center"/>
              <w:rPr>
                <w:szCs w:val="21"/>
              </w:rPr>
            </w:pPr>
            <w:r>
              <w:rPr>
                <w:szCs w:val="21"/>
              </w:rPr>
              <w:t>煤粉锅炉</w:t>
            </w:r>
          </w:p>
        </w:tc>
        <w:tc>
          <w:tcPr>
            <w:tcW w:w="767" w:type="dxa"/>
            <w:vAlign w:val="center"/>
          </w:tcPr>
          <w:p>
            <w:pPr>
              <w:pStyle w:val="2"/>
              <w:adjustRightInd w:val="0"/>
              <w:snapToGrid w:val="0"/>
              <w:spacing w:line="240" w:lineRule="auto"/>
              <w:jc w:val="center"/>
              <w:rPr>
                <w:szCs w:val="21"/>
              </w:rPr>
            </w:pPr>
            <w:r>
              <w:rPr>
                <w:szCs w:val="21"/>
              </w:rPr>
              <w:t>燃烧</w:t>
            </w:r>
          </w:p>
        </w:tc>
        <w:tc>
          <w:tcPr>
            <w:tcW w:w="1134" w:type="dxa"/>
            <w:vAlign w:val="center"/>
          </w:tcPr>
          <w:p>
            <w:pPr>
              <w:pStyle w:val="2"/>
              <w:adjustRightInd w:val="0"/>
              <w:snapToGrid w:val="0"/>
              <w:spacing w:line="240" w:lineRule="auto"/>
              <w:jc w:val="center"/>
              <w:rPr>
                <w:szCs w:val="21"/>
              </w:rPr>
            </w:pPr>
            <w:r>
              <w:rPr>
                <w:szCs w:val="21"/>
              </w:rPr>
              <w:t xml:space="preserve">MF0125 </w:t>
            </w:r>
          </w:p>
        </w:tc>
        <w:tc>
          <w:tcPr>
            <w:tcW w:w="1505" w:type="dxa"/>
            <w:shd w:val="clear" w:color="auto" w:fill="auto"/>
            <w:vAlign w:val="center"/>
          </w:tcPr>
          <w:p>
            <w:pPr>
              <w:pStyle w:val="2"/>
              <w:adjustRightInd w:val="0"/>
              <w:snapToGrid w:val="0"/>
              <w:spacing w:line="240" w:lineRule="auto"/>
              <w:jc w:val="center"/>
              <w:rPr>
                <w:szCs w:val="21"/>
              </w:rPr>
            </w:pPr>
            <w:r>
              <w:rPr>
                <w:rFonts w:hint="eastAsia"/>
                <w:szCs w:val="21"/>
              </w:rPr>
              <w:t>废气监测点3</w:t>
            </w:r>
          </w:p>
        </w:tc>
        <w:tc>
          <w:tcPr>
            <w:tcW w:w="1472" w:type="dxa"/>
            <w:shd w:val="clear" w:color="auto" w:fill="auto"/>
            <w:vAlign w:val="center"/>
          </w:tcPr>
          <w:p>
            <w:pPr>
              <w:pStyle w:val="2"/>
              <w:adjustRightInd w:val="0"/>
              <w:snapToGrid w:val="0"/>
              <w:spacing w:line="240" w:lineRule="auto"/>
              <w:jc w:val="center"/>
              <w:rPr>
                <w:szCs w:val="21"/>
              </w:rPr>
            </w:pPr>
            <w:r>
              <w:rPr>
                <w:rFonts w:hint="eastAsia"/>
                <w:szCs w:val="21"/>
              </w:rPr>
              <w:t>二氧化硫</w:t>
            </w:r>
          </w:p>
        </w:tc>
        <w:tc>
          <w:tcPr>
            <w:tcW w:w="1417" w:type="dxa"/>
            <w:vAlign w:val="center"/>
          </w:tcPr>
          <w:p>
            <w:pPr>
              <w:pStyle w:val="2"/>
              <w:adjustRightInd w:val="0"/>
              <w:snapToGrid w:val="0"/>
              <w:spacing w:line="240" w:lineRule="auto"/>
              <w:jc w:val="center"/>
              <w:rPr>
                <w:szCs w:val="21"/>
              </w:rPr>
            </w:pPr>
            <w:r>
              <w:rPr>
                <w:rFonts w:hint="eastAsia"/>
                <w:szCs w:val="21"/>
              </w:rPr>
              <w:t>上限：200mg/Nm3</w:t>
            </w:r>
          </w:p>
        </w:tc>
        <w:tc>
          <w:tcPr>
            <w:tcW w:w="1276" w:type="dxa"/>
            <w:vAlign w:val="center"/>
          </w:tcPr>
          <w:p>
            <w:pPr>
              <w:pStyle w:val="2"/>
              <w:adjustRightInd w:val="0"/>
              <w:snapToGrid w:val="0"/>
              <w:spacing w:line="240" w:lineRule="auto"/>
              <w:jc w:val="center"/>
              <w:rPr>
                <w:szCs w:val="21"/>
              </w:rPr>
            </w:pPr>
            <w:r>
              <w:rPr>
                <w:rFonts w:hint="eastAsia"/>
                <w:szCs w:val="21"/>
              </w:rPr>
              <w:t>排污许可证</w:t>
            </w:r>
          </w:p>
        </w:tc>
        <w:tc>
          <w:tcPr>
            <w:tcW w:w="1134" w:type="dxa"/>
            <w:vAlign w:val="center"/>
          </w:tcPr>
          <w:p>
            <w:pPr>
              <w:pStyle w:val="2"/>
              <w:adjustRightInd w:val="0"/>
              <w:snapToGrid w:val="0"/>
              <w:spacing w:line="240" w:lineRule="auto"/>
              <w:jc w:val="center"/>
              <w:rPr>
                <w:szCs w:val="21"/>
              </w:rPr>
            </w:pPr>
            <w:r>
              <w:rPr>
                <w:rFonts w:hint="eastAsia"/>
                <w:szCs w:val="21"/>
              </w:rPr>
              <w:t>在线</w:t>
            </w:r>
          </w:p>
        </w:tc>
        <w:tc>
          <w:tcPr>
            <w:tcW w:w="1418" w:type="dxa"/>
            <w:vAlign w:val="center"/>
          </w:tcPr>
          <w:p>
            <w:pPr>
              <w:pStyle w:val="2"/>
              <w:adjustRightInd w:val="0"/>
              <w:snapToGrid w:val="0"/>
              <w:spacing w:line="240" w:lineRule="auto"/>
              <w:jc w:val="center"/>
              <w:rPr>
                <w:szCs w:val="21"/>
              </w:rPr>
            </w:pPr>
            <w:r>
              <w:rPr>
                <w:rFonts w:hint="eastAsia"/>
                <w:szCs w:val="21"/>
              </w:rPr>
              <w:t>1次/1小时</w:t>
            </w:r>
          </w:p>
        </w:tc>
        <w:tc>
          <w:tcPr>
            <w:tcW w:w="1842" w:type="dxa"/>
            <w:vAlign w:val="center"/>
          </w:tcPr>
          <w:p>
            <w:pPr>
              <w:pStyle w:val="2"/>
              <w:adjustRightInd w:val="0"/>
              <w:snapToGrid w:val="0"/>
              <w:spacing w:line="240" w:lineRule="auto"/>
              <w:jc w:val="center"/>
              <w:rPr>
                <w:szCs w:val="21"/>
              </w:rPr>
            </w:pPr>
            <w:r>
              <w:rPr>
                <w:rFonts w:hint="eastAsia"/>
                <w:szCs w:val="21"/>
              </w:rPr>
              <w:t>固定污染源排气中二氧化硫的测定 定电位电解法HJ/T 57-2000</w:t>
            </w:r>
          </w:p>
        </w:tc>
        <w:tc>
          <w:tcPr>
            <w:tcW w:w="1025" w:type="dxa"/>
            <w:vAlign w:val="center"/>
          </w:tcPr>
          <w:p>
            <w:pPr>
              <w:pStyle w:val="2"/>
              <w:adjustRightInd w:val="0"/>
              <w:snapToGrid w:val="0"/>
              <w:spacing w:line="240" w:lineRule="auto"/>
              <w:jc w:val="center"/>
              <w:rPr>
                <w:szCs w:val="21"/>
              </w:rPr>
            </w:pPr>
            <w:r>
              <w:rPr>
                <w:rFonts w:hint="eastAsia"/>
                <w:szCs w:val="21"/>
              </w:rPr>
              <w:t>SCS-900</w:t>
            </w:r>
          </w:p>
        </w:tc>
      </w:tr>
    </w:tbl>
    <w:p>
      <w:pPr>
        <w:rPr>
          <w:b/>
        </w:rPr>
      </w:pPr>
    </w:p>
    <w:p>
      <w:pPr>
        <w:rPr>
          <w:b/>
        </w:rPr>
        <w:sectPr>
          <w:pgSz w:w="16838" w:h="11906" w:orient="landscape"/>
          <w:pgMar w:top="1800" w:right="1440" w:bottom="1800" w:left="1440" w:header="851" w:footer="992" w:gutter="0"/>
          <w:cols w:space="425" w:num="1"/>
          <w:docGrid w:type="lines" w:linePitch="381" w:charSpace="0"/>
        </w:sectPr>
      </w:pPr>
    </w:p>
    <w:p>
      <w:pPr>
        <w:spacing w:line="276" w:lineRule="auto"/>
        <w:rPr>
          <w:sz w:val="24"/>
          <w:szCs w:val="24"/>
        </w:rPr>
      </w:pPr>
    </w:p>
    <w:p>
      <w:pPr>
        <w:jc w:val="center"/>
        <w:rPr>
          <w:b/>
          <w:sz w:val="24"/>
          <w:szCs w:val="24"/>
        </w:rPr>
      </w:pPr>
      <w:r>
        <w:rPr>
          <w:rFonts w:hint="eastAsia"/>
          <w:b/>
          <w:sz w:val="24"/>
          <w:szCs w:val="24"/>
        </w:rPr>
        <w:t>废水监测方案</w:t>
      </w:r>
    </w:p>
    <w:tbl>
      <w:tblPr>
        <w:tblStyle w:val="8"/>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01"/>
        <w:gridCol w:w="1984"/>
        <w:gridCol w:w="1418"/>
        <w:gridCol w:w="850"/>
        <w:gridCol w:w="1418"/>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监测点位</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监测指标</w:t>
            </w:r>
          </w:p>
        </w:tc>
        <w:tc>
          <w:tcPr>
            <w:tcW w:w="1984" w:type="dxa"/>
            <w:vAlign w:val="center"/>
          </w:tcPr>
          <w:p>
            <w:pPr>
              <w:pStyle w:val="2"/>
              <w:adjustRightInd w:val="0"/>
              <w:snapToGrid w:val="0"/>
              <w:spacing w:line="276" w:lineRule="auto"/>
              <w:jc w:val="center"/>
              <w:rPr>
                <w:szCs w:val="21"/>
              </w:rPr>
            </w:pPr>
            <w:r>
              <w:rPr>
                <w:rFonts w:hint="eastAsia"/>
                <w:szCs w:val="21"/>
              </w:rPr>
              <w:t>排放限值</w:t>
            </w:r>
          </w:p>
        </w:tc>
        <w:tc>
          <w:tcPr>
            <w:tcW w:w="1418" w:type="dxa"/>
            <w:vAlign w:val="center"/>
          </w:tcPr>
          <w:p>
            <w:pPr>
              <w:pStyle w:val="2"/>
              <w:adjustRightInd w:val="0"/>
              <w:snapToGrid w:val="0"/>
              <w:spacing w:line="276" w:lineRule="auto"/>
              <w:jc w:val="center"/>
              <w:rPr>
                <w:szCs w:val="21"/>
              </w:rPr>
            </w:pPr>
            <w:r>
              <w:rPr>
                <w:rFonts w:hint="eastAsia"/>
                <w:szCs w:val="21"/>
              </w:rPr>
              <w:t>执行标准</w:t>
            </w:r>
          </w:p>
        </w:tc>
        <w:tc>
          <w:tcPr>
            <w:tcW w:w="850" w:type="dxa"/>
            <w:vAlign w:val="center"/>
          </w:tcPr>
          <w:p>
            <w:pPr>
              <w:pStyle w:val="2"/>
              <w:adjustRightInd w:val="0"/>
              <w:snapToGrid w:val="0"/>
              <w:spacing w:line="276" w:lineRule="auto"/>
              <w:jc w:val="center"/>
              <w:rPr>
                <w:szCs w:val="21"/>
              </w:rPr>
            </w:pPr>
            <w:r>
              <w:rPr>
                <w:rFonts w:hint="eastAsia"/>
                <w:szCs w:val="21"/>
              </w:rPr>
              <w:t>监测方式</w:t>
            </w:r>
          </w:p>
        </w:tc>
        <w:tc>
          <w:tcPr>
            <w:tcW w:w="1418" w:type="dxa"/>
            <w:vAlign w:val="center"/>
          </w:tcPr>
          <w:p>
            <w:pPr>
              <w:pStyle w:val="2"/>
              <w:adjustRightInd w:val="0"/>
              <w:snapToGrid w:val="0"/>
              <w:spacing w:line="276" w:lineRule="auto"/>
              <w:jc w:val="center"/>
              <w:rPr>
                <w:szCs w:val="21"/>
              </w:rPr>
            </w:pPr>
            <w:r>
              <w:rPr>
                <w:rFonts w:hint="eastAsia"/>
                <w:szCs w:val="21"/>
              </w:rPr>
              <w:t>监测频次</w:t>
            </w:r>
          </w:p>
        </w:tc>
        <w:tc>
          <w:tcPr>
            <w:tcW w:w="4819" w:type="dxa"/>
            <w:vAlign w:val="center"/>
          </w:tcPr>
          <w:p>
            <w:pPr>
              <w:pStyle w:val="2"/>
              <w:adjustRightInd w:val="0"/>
              <w:snapToGrid w:val="0"/>
              <w:spacing w:line="276" w:lineRule="auto"/>
              <w:jc w:val="center"/>
              <w:rPr>
                <w:szCs w:val="21"/>
              </w:rPr>
            </w:pPr>
            <w:r>
              <w:rPr>
                <w:rFonts w:hint="eastAsia"/>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挥发酚</w:t>
            </w:r>
          </w:p>
        </w:tc>
        <w:tc>
          <w:tcPr>
            <w:tcW w:w="1984" w:type="dxa"/>
            <w:vAlign w:val="center"/>
          </w:tcPr>
          <w:p>
            <w:pPr>
              <w:pStyle w:val="2"/>
              <w:adjustRightInd w:val="0"/>
              <w:snapToGrid w:val="0"/>
              <w:spacing w:line="276" w:lineRule="auto"/>
              <w:jc w:val="center"/>
              <w:rPr>
                <w:szCs w:val="21"/>
              </w:rPr>
            </w:pPr>
            <w:r>
              <w:rPr>
                <w:rFonts w:hint="eastAsia"/>
                <w:szCs w:val="21"/>
              </w:rPr>
              <w:t>上限：0.5mg/L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挥发酚的测定 4-氨基安替比林分光光度法HJ 503-2009 代替GB 7490-87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氟化物</w:t>
            </w:r>
          </w:p>
        </w:tc>
        <w:tc>
          <w:tcPr>
            <w:tcW w:w="1984" w:type="dxa"/>
            <w:vAlign w:val="center"/>
          </w:tcPr>
          <w:p>
            <w:pPr>
              <w:pStyle w:val="2"/>
              <w:adjustRightInd w:val="0"/>
              <w:snapToGrid w:val="0"/>
              <w:spacing w:line="276" w:lineRule="auto"/>
              <w:jc w:val="center"/>
              <w:rPr>
                <w:szCs w:val="21"/>
              </w:rPr>
            </w:pPr>
            <w:r>
              <w:rPr>
                <w:rFonts w:hint="eastAsia"/>
                <w:szCs w:val="21"/>
              </w:rPr>
              <w:t>上限：10mg/L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化学需氧量</w:t>
            </w:r>
          </w:p>
        </w:tc>
        <w:tc>
          <w:tcPr>
            <w:tcW w:w="1984" w:type="dxa"/>
            <w:vAlign w:val="center"/>
          </w:tcPr>
          <w:p>
            <w:pPr>
              <w:pStyle w:val="2"/>
              <w:adjustRightInd w:val="0"/>
              <w:snapToGrid w:val="0"/>
              <w:spacing w:line="276" w:lineRule="auto"/>
              <w:jc w:val="center"/>
              <w:rPr>
                <w:szCs w:val="21"/>
              </w:rPr>
            </w:pPr>
            <w:r>
              <w:rPr>
                <w:rFonts w:hint="eastAsia"/>
                <w:szCs w:val="21"/>
              </w:rPr>
              <w:t>上限：150mg/L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化学需氧量的测定 重铬酸盐法GB 11914-89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悬浮物</w:t>
            </w:r>
          </w:p>
        </w:tc>
        <w:tc>
          <w:tcPr>
            <w:tcW w:w="1984" w:type="dxa"/>
            <w:vAlign w:val="center"/>
          </w:tcPr>
          <w:p>
            <w:pPr>
              <w:pStyle w:val="2"/>
              <w:adjustRightInd w:val="0"/>
              <w:snapToGrid w:val="0"/>
              <w:spacing w:line="276" w:lineRule="auto"/>
              <w:jc w:val="center"/>
              <w:rPr>
                <w:szCs w:val="21"/>
              </w:rPr>
            </w:pPr>
            <w:r>
              <w:rPr>
                <w:rFonts w:hint="eastAsia"/>
                <w:szCs w:val="21"/>
              </w:rPr>
              <w:t>上限：150mg/L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悬浮物的测定 重量法GB 11901-89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动植物油</w:t>
            </w:r>
          </w:p>
        </w:tc>
        <w:tc>
          <w:tcPr>
            <w:tcW w:w="1984" w:type="dxa"/>
            <w:vAlign w:val="center"/>
          </w:tcPr>
          <w:p>
            <w:pPr>
              <w:pStyle w:val="2"/>
              <w:adjustRightInd w:val="0"/>
              <w:snapToGrid w:val="0"/>
              <w:spacing w:line="276" w:lineRule="auto"/>
              <w:jc w:val="center"/>
              <w:rPr>
                <w:szCs w:val="21"/>
              </w:rPr>
            </w:pPr>
            <w:r>
              <w:rPr>
                <w:rFonts w:hint="eastAsia"/>
                <w:szCs w:val="21"/>
              </w:rPr>
              <w:t>上限：15mg/L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溶解性总固体</w:t>
            </w:r>
          </w:p>
        </w:tc>
        <w:tc>
          <w:tcPr>
            <w:tcW w:w="1984" w:type="dxa"/>
            <w:vAlign w:val="center"/>
          </w:tcPr>
          <w:p>
            <w:pPr>
              <w:pStyle w:val="2"/>
              <w:adjustRightInd w:val="0"/>
              <w:snapToGrid w:val="0"/>
              <w:spacing w:line="276" w:lineRule="auto"/>
              <w:jc w:val="center"/>
              <w:rPr>
                <w:szCs w:val="21"/>
              </w:rPr>
            </w:pPr>
            <w:r>
              <w:rPr>
                <w:rFonts w:hint="eastAsia"/>
                <w:szCs w:val="21"/>
              </w:rPr>
              <w:t>-</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流量</w:t>
            </w:r>
          </w:p>
        </w:tc>
        <w:tc>
          <w:tcPr>
            <w:tcW w:w="1984" w:type="dxa"/>
            <w:vAlign w:val="center"/>
          </w:tcPr>
          <w:p>
            <w:pPr>
              <w:pStyle w:val="2"/>
              <w:adjustRightInd w:val="0"/>
              <w:snapToGrid w:val="0"/>
              <w:spacing w:line="276" w:lineRule="auto"/>
              <w:jc w:val="center"/>
              <w:rPr>
                <w:szCs w:val="21"/>
              </w:rPr>
            </w:pPr>
            <w:r>
              <w:rPr>
                <w:rFonts w:hint="eastAsia"/>
                <w:szCs w:val="21"/>
              </w:rPr>
              <w:t>-</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硫化物</w:t>
            </w:r>
          </w:p>
        </w:tc>
        <w:tc>
          <w:tcPr>
            <w:tcW w:w="1984" w:type="dxa"/>
            <w:vAlign w:val="center"/>
          </w:tcPr>
          <w:p>
            <w:pPr>
              <w:pStyle w:val="2"/>
              <w:adjustRightInd w:val="0"/>
              <w:snapToGrid w:val="0"/>
              <w:spacing w:line="276" w:lineRule="auto"/>
              <w:jc w:val="center"/>
              <w:rPr>
                <w:szCs w:val="21"/>
              </w:rPr>
            </w:pPr>
            <w:r>
              <w:rPr>
                <w:rFonts w:hint="eastAsia"/>
                <w:szCs w:val="21"/>
              </w:rPr>
              <w:t>上限：1.0mg/L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硫化物的测定 碘量法HJ/T 60-2000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石油类</w:t>
            </w:r>
          </w:p>
        </w:tc>
        <w:tc>
          <w:tcPr>
            <w:tcW w:w="1984" w:type="dxa"/>
            <w:vAlign w:val="center"/>
          </w:tcPr>
          <w:p>
            <w:pPr>
              <w:pStyle w:val="2"/>
              <w:adjustRightInd w:val="0"/>
              <w:snapToGrid w:val="0"/>
              <w:spacing w:line="276" w:lineRule="auto"/>
              <w:jc w:val="center"/>
              <w:rPr>
                <w:szCs w:val="21"/>
              </w:rPr>
            </w:pPr>
            <w:r>
              <w:rPr>
                <w:rFonts w:hint="eastAsia"/>
                <w:szCs w:val="21"/>
              </w:rPr>
              <w:t>上限：10mg/L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紫外分光光度法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氨氮（NH3-N）</w:t>
            </w:r>
          </w:p>
        </w:tc>
        <w:tc>
          <w:tcPr>
            <w:tcW w:w="1984" w:type="dxa"/>
            <w:vAlign w:val="center"/>
          </w:tcPr>
          <w:p>
            <w:pPr>
              <w:pStyle w:val="2"/>
              <w:adjustRightInd w:val="0"/>
              <w:snapToGrid w:val="0"/>
              <w:spacing w:line="276" w:lineRule="auto"/>
              <w:jc w:val="center"/>
              <w:rPr>
                <w:szCs w:val="21"/>
              </w:rPr>
            </w:pPr>
            <w:r>
              <w:rPr>
                <w:rFonts w:hint="eastAsia"/>
                <w:szCs w:val="21"/>
              </w:rPr>
              <w:t>上限：25mg/L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氨氮的测定 纳氏试剂分光光度法HJ 535-2009 代替GB 7479-87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总磷（以P计）</w:t>
            </w:r>
          </w:p>
        </w:tc>
        <w:tc>
          <w:tcPr>
            <w:tcW w:w="1984" w:type="dxa"/>
            <w:vAlign w:val="center"/>
          </w:tcPr>
          <w:p>
            <w:pPr>
              <w:pStyle w:val="2"/>
              <w:adjustRightInd w:val="0"/>
              <w:snapToGrid w:val="0"/>
              <w:spacing w:line="276" w:lineRule="auto"/>
              <w:jc w:val="center"/>
              <w:rPr>
                <w:szCs w:val="21"/>
              </w:rPr>
            </w:pPr>
            <w:r>
              <w:rPr>
                <w:rFonts w:hint="eastAsia"/>
                <w:szCs w:val="21"/>
              </w:rPr>
              <w:t>上限：1.0mg/L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总磷的测定 流动注射-钼酸铵分光光度法HJ 671-2013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废水监测点1</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pH值</w:t>
            </w:r>
          </w:p>
        </w:tc>
        <w:tc>
          <w:tcPr>
            <w:tcW w:w="1984" w:type="dxa"/>
            <w:vAlign w:val="center"/>
          </w:tcPr>
          <w:p>
            <w:pPr>
              <w:pStyle w:val="2"/>
              <w:adjustRightInd w:val="0"/>
              <w:snapToGrid w:val="0"/>
              <w:spacing w:line="276" w:lineRule="auto"/>
              <w:jc w:val="center"/>
              <w:rPr>
                <w:szCs w:val="21"/>
              </w:rPr>
            </w:pPr>
            <w:r>
              <w:rPr>
                <w:rFonts w:hint="eastAsia"/>
                <w:szCs w:val="21"/>
              </w:rPr>
              <w:t>上限：9mg/L  下限：6mg/L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pH值的测定 玻璃电极法GB/T 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废水监测点2</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水温</w:t>
            </w:r>
          </w:p>
        </w:tc>
        <w:tc>
          <w:tcPr>
            <w:tcW w:w="1984" w:type="dxa"/>
            <w:vAlign w:val="center"/>
          </w:tcPr>
          <w:p>
            <w:pPr>
              <w:pStyle w:val="2"/>
              <w:adjustRightInd w:val="0"/>
              <w:snapToGrid w:val="0"/>
              <w:spacing w:line="276" w:lineRule="auto"/>
              <w:jc w:val="center"/>
              <w:rPr>
                <w:szCs w:val="21"/>
              </w:rPr>
            </w:pPr>
            <w:r>
              <w:rPr>
                <w:rFonts w:hint="eastAsia"/>
                <w:szCs w:val="21"/>
              </w:rPr>
              <w:t>-</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1次/1天</w:t>
            </w:r>
          </w:p>
        </w:tc>
        <w:tc>
          <w:tcPr>
            <w:tcW w:w="4819" w:type="dxa"/>
            <w:vAlign w:val="center"/>
          </w:tcPr>
          <w:p>
            <w:pPr>
              <w:pStyle w:val="2"/>
              <w:adjustRightInd w:val="0"/>
              <w:snapToGrid w:val="0"/>
              <w:spacing w:line="276" w:lineRule="auto"/>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废水监测点2</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余氯</w:t>
            </w:r>
          </w:p>
        </w:tc>
        <w:tc>
          <w:tcPr>
            <w:tcW w:w="1984" w:type="dxa"/>
            <w:vAlign w:val="center"/>
          </w:tcPr>
          <w:p>
            <w:pPr>
              <w:pStyle w:val="2"/>
              <w:adjustRightInd w:val="0"/>
              <w:snapToGrid w:val="0"/>
              <w:spacing w:line="276" w:lineRule="auto"/>
              <w:jc w:val="center"/>
              <w:rPr>
                <w:szCs w:val="21"/>
              </w:rPr>
            </w:pPr>
            <w:r>
              <w:rPr>
                <w:rFonts w:hint="eastAsia"/>
                <w:szCs w:val="21"/>
              </w:rPr>
              <w:t>-</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1次/1半年</w:t>
            </w:r>
          </w:p>
        </w:tc>
        <w:tc>
          <w:tcPr>
            <w:tcW w:w="4819" w:type="dxa"/>
            <w:vAlign w:val="center"/>
          </w:tcPr>
          <w:p>
            <w:pPr>
              <w:pStyle w:val="2"/>
              <w:adjustRightInd w:val="0"/>
              <w:snapToGrid w:val="0"/>
              <w:spacing w:line="276" w:lineRule="auto"/>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废水监测点2</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流量</w:t>
            </w:r>
          </w:p>
        </w:tc>
        <w:tc>
          <w:tcPr>
            <w:tcW w:w="1984" w:type="dxa"/>
            <w:vAlign w:val="center"/>
          </w:tcPr>
          <w:p>
            <w:pPr>
              <w:pStyle w:val="2"/>
              <w:adjustRightInd w:val="0"/>
              <w:snapToGrid w:val="0"/>
              <w:spacing w:line="276" w:lineRule="auto"/>
              <w:jc w:val="center"/>
              <w:rPr>
                <w:szCs w:val="21"/>
              </w:rPr>
            </w:pPr>
            <w:r>
              <w:rPr>
                <w:rFonts w:hint="eastAsia"/>
                <w:szCs w:val="21"/>
              </w:rPr>
              <w:t>-</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1次/1天</w:t>
            </w:r>
          </w:p>
        </w:tc>
        <w:tc>
          <w:tcPr>
            <w:tcW w:w="4819" w:type="dxa"/>
            <w:vAlign w:val="center"/>
          </w:tcPr>
          <w:p>
            <w:pPr>
              <w:pStyle w:val="2"/>
              <w:adjustRightInd w:val="0"/>
              <w:snapToGrid w:val="0"/>
              <w:spacing w:line="276"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废水监测点3</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总铅</w:t>
            </w:r>
          </w:p>
        </w:tc>
        <w:tc>
          <w:tcPr>
            <w:tcW w:w="1984" w:type="dxa"/>
            <w:vAlign w:val="center"/>
          </w:tcPr>
          <w:p>
            <w:pPr>
              <w:pStyle w:val="2"/>
              <w:adjustRightInd w:val="0"/>
              <w:snapToGrid w:val="0"/>
              <w:spacing w:line="276" w:lineRule="auto"/>
              <w:jc w:val="center"/>
              <w:rPr>
                <w:szCs w:val="21"/>
              </w:rPr>
            </w:pPr>
            <w:r>
              <w:rPr>
                <w:rFonts w:hint="eastAsia"/>
                <w:szCs w:val="21"/>
              </w:rPr>
              <w:t>上限：1.0mg/L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铅的测定 双硫腙分光光度法GB 7470-87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废水监测点3</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总镉</w:t>
            </w:r>
          </w:p>
        </w:tc>
        <w:tc>
          <w:tcPr>
            <w:tcW w:w="1984" w:type="dxa"/>
            <w:vAlign w:val="center"/>
          </w:tcPr>
          <w:p>
            <w:pPr>
              <w:pStyle w:val="2"/>
              <w:adjustRightInd w:val="0"/>
              <w:snapToGrid w:val="0"/>
              <w:spacing w:line="276" w:lineRule="auto"/>
              <w:jc w:val="center"/>
              <w:rPr>
                <w:szCs w:val="21"/>
              </w:rPr>
            </w:pPr>
            <w:r>
              <w:rPr>
                <w:rFonts w:hint="eastAsia"/>
                <w:szCs w:val="21"/>
              </w:rPr>
              <w:t>上限：0.1mg/L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镉的测定 双硫腙分光光度法GB 7471-87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废水监测点3</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pH值</w:t>
            </w:r>
          </w:p>
        </w:tc>
        <w:tc>
          <w:tcPr>
            <w:tcW w:w="1984" w:type="dxa"/>
            <w:vAlign w:val="center"/>
          </w:tcPr>
          <w:p>
            <w:pPr>
              <w:pStyle w:val="2"/>
              <w:adjustRightInd w:val="0"/>
              <w:snapToGrid w:val="0"/>
              <w:spacing w:line="276" w:lineRule="auto"/>
              <w:jc w:val="center"/>
              <w:rPr>
                <w:szCs w:val="21"/>
              </w:rPr>
            </w:pPr>
            <w:r>
              <w:rPr>
                <w:rFonts w:hint="eastAsia"/>
                <w:szCs w:val="21"/>
              </w:rPr>
              <w:t>上限：9mg/L  下限：6mg/L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pH值的测定 玻璃电极法GB/T 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废水监测点3</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总砷</w:t>
            </w:r>
          </w:p>
        </w:tc>
        <w:tc>
          <w:tcPr>
            <w:tcW w:w="1984" w:type="dxa"/>
            <w:vAlign w:val="center"/>
          </w:tcPr>
          <w:p>
            <w:pPr>
              <w:pStyle w:val="2"/>
              <w:adjustRightInd w:val="0"/>
              <w:snapToGrid w:val="0"/>
              <w:spacing w:line="276" w:lineRule="auto"/>
              <w:jc w:val="center"/>
              <w:rPr>
                <w:szCs w:val="21"/>
              </w:rPr>
            </w:pPr>
            <w:r>
              <w:rPr>
                <w:rFonts w:hint="eastAsia"/>
                <w:szCs w:val="21"/>
              </w:rPr>
              <w:t>上限：0.5mg/L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auto"/>
            <w:vAlign w:val="center"/>
          </w:tcPr>
          <w:p>
            <w:pPr>
              <w:pStyle w:val="2"/>
              <w:adjustRightInd w:val="0"/>
              <w:snapToGrid w:val="0"/>
              <w:spacing w:line="276" w:lineRule="auto"/>
              <w:jc w:val="center"/>
              <w:rPr>
                <w:szCs w:val="21"/>
              </w:rPr>
            </w:pPr>
            <w:r>
              <w:rPr>
                <w:rFonts w:hint="eastAsia"/>
                <w:szCs w:val="21"/>
              </w:rPr>
              <w:t>废水监测点3</w:t>
            </w:r>
          </w:p>
        </w:tc>
        <w:tc>
          <w:tcPr>
            <w:tcW w:w="1701" w:type="dxa"/>
            <w:shd w:val="clear" w:color="auto" w:fill="auto"/>
            <w:vAlign w:val="center"/>
          </w:tcPr>
          <w:p>
            <w:pPr>
              <w:pStyle w:val="2"/>
              <w:adjustRightInd w:val="0"/>
              <w:snapToGrid w:val="0"/>
              <w:spacing w:line="276" w:lineRule="auto"/>
              <w:jc w:val="center"/>
              <w:rPr>
                <w:szCs w:val="21"/>
              </w:rPr>
            </w:pPr>
            <w:r>
              <w:rPr>
                <w:rFonts w:hint="eastAsia"/>
                <w:szCs w:val="21"/>
              </w:rPr>
              <w:t>总汞</w:t>
            </w:r>
          </w:p>
        </w:tc>
        <w:tc>
          <w:tcPr>
            <w:tcW w:w="1984" w:type="dxa"/>
            <w:vAlign w:val="center"/>
          </w:tcPr>
          <w:p>
            <w:pPr>
              <w:pStyle w:val="2"/>
              <w:adjustRightInd w:val="0"/>
              <w:snapToGrid w:val="0"/>
              <w:spacing w:line="276" w:lineRule="auto"/>
              <w:jc w:val="center"/>
              <w:rPr>
                <w:szCs w:val="21"/>
              </w:rPr>
            </w:pPr>
            <w:r>
              <w:rPr>
                <w:rFonts w:hint="eastAsia"/>
                <w:szCs w:val="21"/>
              </w:rPr>
              <w:t>上限：0.05mg/L</w:t>
            </w:r>
          </w:p>
        </w:tc>
        <w:tc>
          <w:tcPr>
            <w:tcW w:w="1418" w:type="dxa"/>
            <w:vAlign w:val="center"/>
          </w:tcPr>
          <w:p>
            <w:pPr>
              <w:pStyle w:val="2"/>
              <w:adjustRightInd w:val="0"/>
              <w:snapToGrid w:val="0"/>
              <w:spacing w:line="276" w:lineRule="auto"/>
              <w:jc w:val="center"/>
              <w:rPr>
                <w:szCs w:val="21"/>
              </w:rPr>
            </w:pPr>
            <w:r>
              <w:rPr>
                <w:rFonts w:hint="eastAsia"/>
                <w:szCs w:val="21"/>
              </w:rPr>
              <w:t>排污许可证</w:t>
            </w:r>
          </w:p>
        </w:tc>
        <w:tc>
          <w:tcPr>
            <w:tcW w:w="850" w:type="dxa"/>
            <w:vAlign w:val="center"/>
          </w:tcPr>
          <w:p>
            <w:pPr>
              <w:pStyle w:val="2"/>
              <w:adjustRightInd w:val="0"/>
              <w:snapToGrid w:val="0"/>
              <w:spacing w:line="276" w:lineRule="auto"/>
              <w:jc w:val="center"/>
              <w:rPr>
                <w:szCs w:val="21"/>
              </w:rPr>
            </w:pPr>
            <w:r>
              <w:rPr>
                <w:rFonts w:hint="eastAsia"/>
                <w:szCs w:val="21"/>
              </w:rPr>
              <w:t>手工</w:t>
            </w:r>
          </w:p>
        </w:tc>
        <w:tc>
          <w:tcPr>
            <w:tcW w:w="1418" w:type="dxa"/>
            <w:vAlign w:val="center"/>
          </w:tcPr>
          <w:p>
            <w:pPr>
              <w:pStyle w:val="2"/>
              <w:adjustRightInd w:val="0"/>
              <w:snapToGrid w:val="0"/>
              <w:spacing w:line="276" w:lineRule="auto"/>
              <w:jc w:val="center"/>
              <w:rPr>
                <w:szCs w:val="21"/>
              </w:rPr>
            </w:pPr>
            <w:r>
              <w:rPr>
                <w:rFonts w:hint="eastAsia"/>
                <w:szCs w:val="21"/>
              </w:rPr>
              <w:t>1次/1月</w:t>
            </w:r>
          </w:p>
        </w:tc>
        <w:tc>
          <w:tcPr>
            <w:tcW w:w="4819" w:type="dxa"/>
            <w:vAlign w:val="center"/>
          </w:tcPr>
          <w:p>
            <w:pPr>
              <w:pStyle w:val="2"/>
              <w:adjustRightInd w:val="0"/>
              <w:snapToGrid w:val="0"/>
              <w:spacing w:line="276" w:lineRule="auto"/>
              <w:jc w:val="center"/>
              <w:rPr>
                <w:szCs w:val="21"/>
              </w:rPr>
            </w:pPr>
            <w:r>
              <w:rPr>
                <w:rFonts w:hint="eastAsia"/>
                <w:szCs w:val="21"/>
              </w:rPr>
              <w:t>水质 总汞的测定 冷原子吸收分光光度法HJ 597-2011 代替GB 7468-87</w:t>
            </w:r>
          </w:p>
        </w:tc>
      </w:tr>
    </w:tbl>
    <w:p>
      <w:pPr>
        <w:rPr>
          <w:b/>
          <w:sz w:val="24"/>
          <w:szCs w:val="24"/>
        </w:rPr>
      </w:pPr>
    </w:p>
    <w:p>
      <w:pPr>
        <w:jc w:val="center"/>
        <w:rPr>
          <w:b/>
          <w:sz w:val="24"/>
          <w:szCs w:val="24"/>
        </w:rPr>
      </w:pPr>
      <w:r>
        <w:rPr>
          <w:rFonts w:hint="eastAsia"/>
          <w:b/>
          <w:sz w:val="24"/>
          <w:szCs w:val="24"/>
        </w:rPr>
        <w:t>无组织监测方案</w:t>
      </w:r>
    </w:p>
    <w:tbl>
      <w:tblPr>
        <w:tblStyle w:val="8"/>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552"/>
        <w:gridCol w:w="1701"/>
        <w:gridCol w:w="1275"/>
        <w:gridCol w:w="1560"/>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shd w:val="clear" w:color="auto" w:fill="auto"/>
            <w:vAlign w:val="center"/>
          </w:tcPr>
          <w:p>
            <w:pPr>
              <w:pStyle w:val="2"/>
              <w:adjustRightInd w:val="0"/>
              <w:snapToGrid w:val="0"/>
              <w:spacing w:line="276" w:lineRule="auto"/>
              <w:jc w:val="center"/>
              <w:rPr>
                <w:szCs w:val="21"/>
              </w:rPr>
            </w:pPr>
            <w:r>
              <w:rPr>
                <w:rFonts w:hint="eastAsia"/>
                <w:szCs w:val="21"/>
              </w:rPr>
              <w:t>监测点位</w:t>
            </w:r>
          </w:p>
        </w:tc>
        <w:tc>
          <w:tcPr>
            <w:tcW w:w="2552" w:type="dxa"/>
            <w:shd w:val="clear" w:color="auto" w:fill="auto"/>
            <w:vAlign w:val="center"/>
          </w:tcPr>
          <w:p>
            <w:pPr>
              <w:pStyle w:val="2"/>
              <w:adjustRightInd w:val="0"/>
              <w:snapToGrid w:val="0"/>
              <w:spacing w:line="276" w:lineRule="auto"/>
              <w:jc w:val="center"/>
              <w:rPr>
                <w:szCs w:val="21"/>
              </w:rPr>
            </w:pPr>
            <w:r>
              <w:rPr>
                <w:rFonts w:hint="eastAsia"/>
                <w:szCs w:val="21"/>
              </w:rPr>
              <w:t>监测指标</w:t>
            </w:r>
          </w:p>
        </w:tc>
        <w:tc>
          <w:tcPr>
            <w:tcW w:w="1701" w:type="dxa"/>
            <w:vAlign w:val="center"/>
          </w:tcPr>
          <w:p>
            <w:pPr>
              <w:pStyle w:val="2"/>
              <w:adjustRightInd w:val="0"/>
              <w:snapToGrid w:val="0"/>
              <w:spacing w:line="276" w:lineRule="auto"/>
              <w:jc w:val="center"/>
              <w:rPr>
                <w:szCs w:val="21"/>
              </w:rPr>
            </w:pPr>
            <w:r>
              <w:rPr>
                <w:rFonts w:hint="eastAsia"/>
                <w:szCs w:val="21"/>
              </w:rPr>
              <w:t>执行标准</w:t>
            </w:r>
          </w:p>
        </w:tc>
        <w:tc>
          <w:tcPr>
            <w:tcW w:w="1275" w:type="dxa"/>
            <w:vAlign w:val="center"/>
          </w:tcPr>
          <w:p>
            <w:pPr>
              <w:pStyle w:val="2"/>
              <w:adjustRightInd w:val="0"/>
              <w:snapToGrid w:val="0"/>
              <w:spacing w:line="276" w:lineRule="auto"/>
              <w:jc w:val="center"/>
              <w:rPr>
                <w:szCs w:val="21"/>
              </w:rPr>
            </w:pPr>
            <w:r>
              <w:rPr>
                <w:rFonts w:hint="eastAsia"/>
                <w:szCs w:val="21"/>
              </w:rPr>
              <w:t>监测方式</w:t>
            </w:r>
          </w:p>
        </w:tc>
        <w:tc>
          <w:tcPr>
            <w:tcW w:w="1560" w:type="dxa"/>
            <w:vAlign w:val="center"/>
          </w:tcPr>
          <w:p>
            <w:pPr>
              <w:pStyle w:val="2"/>
              <w:adjustRightInd w:val="0"/>
              <w:snapToGrid w:val="0"/>
              <w:spacing w:line="276" w:lineRule="auto"/>
              <w:jc w:val="center"/>
              <w:rPr>
                <w:szCs w:val="21"/>
              </w:rPr>
            </w:pPr>
            <w:r>
              <w:rPr>
                <w:rFonts w:hint="eastAsia"/>
                <w:szCs w:val="21"/>
              </w:rPr>
              <w:t>监测频次</w:t>
            </w:r>
          </w:p>
        </w:tc>
        <w:tc>
          <w:tcPr>
            <w:tcW w:w="5386" w:type="dxa"/>
            <w:vAlign w:val="center"/>
          </w:tcPr>
          <w:p>
            <w:pPr>
              <w:pStyle w:val="2"/>
              <w:adjustRightInd w:val="0"/>
              <w:snapToGrid w:val="0"/>
              <w:spacing w:line="276" w:lineRule="auto"/>
              <w:jc w:val="center"/>
              <w:rPr>
                <w:szCs w:val="21"/>
              </w:rPr>
            </w:pPr>
            <w:r>
              <w:rPr>
                <w:rFonts w:hint="eastAsia"/>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shd w:val="clear" w:color="auto" w:fill="auto"/>
            <w:vAlign w:val="center"/>
          </w:tcPr>
          <w:p>
            <w:pPr>
              <w:pStyle w:val="2"/>
              <w:adjustRightInd w:val="0"/>
              <w:snapToGrid w:val="0"/>
              <w:spacing w:line="276" w:lineRule="auto"/>
              <w:jc w:val="center"/>
              <w:rPr>
                <w:szCs w:val="21"/>
              </w:rPr>
            </w:pPr>
            <w:r>
              <w:rPr>
                <w:rFonts w:hint="eastAsia"/>
                <w:szCs w:val="21"/>
              </w:rPr>
              <w:t>储油罐周边</w:t>
            </w:r>
          </w:p>
        </w:tc>
        <w:tc>
          <w:tcPr>
            <w:tcW w:w="2552" w:type="dxa"/>
            <w:shd w:val="clear" w:color="auto" w:fill="auto"/>
            <w:vAlign w:val="center"/>
          </w:tcPr>
          <w:p>
            <w:pPr>
              <w:pStyle w:val="2"/>
              <w:adjustRightInd w:val="0"/>
              <w:snapToGrid w:val="0"/>
              <w:spacing w:line="276" w:lineRule="auto"/>
              <w:jc w:val="center"/>
              <w:rPr>
                <w:szCs w:val="21"/>
              </w:rPr>
            </w:pPr>
            <w:r>
              <w:rPr>
                <w:rFonts w:hint="eastAsia"/>
                <w:szCs w:val="21"/>
              </w:rPr>
              <w:t>非甲烷碳氢化合物</w:t>
            </w:r>
          </w:p>
        </w:tc>
        <w:tc>
          <w:tcPr>
            <w:tcW w:w="1701" w:type="dxa"/>
            <w:vAlign w:val="center"/>
          </w:tcPr>
          <w:p>
            <w:pPr>
              <w:pStyle w:val="2"/>
              <w:adjustRightInd w:val="0"/>
              <w:snapToGrid w:val="0"/>
              <w:spacing w:line="276" w:lineRule="auto"/>
              <w:jc w:val="center"/>
              <w:rPr>
                <w:szCs w:val="21"/>
              </w:rPr>
            </w:pPr>
            <w:r>
              <w:rPr>
                <w:rFonts w:hint="eastAsia"/>
                <w:szCs w:val="21"/>
              </w:rPr>
              <w:t>排污许可证</w:t>
            </w:r>
          </w:p>
        </w:tc>
        <w:tc>
          <w:tcPr>
            <w:tcW w:w="1275" w:type="dxa"/>
            <w:vAlign w:val="center"/>
          </w:tcPr>
          <w:p>
            <w:pPr>
              <w:pStyle w:val="2"/>
              <w:adjustRightInd w:val="0"/>
              <w:snapToGrid w:val="0"/>
              <w:spacing w:line="276" w:lineRule="auto"/>
              <w:jc w:val="center"/>
              <w:rPr>
                <w:szCs w:val="21"/>
              </w:rPr>
            </w:pPr>
            <w:r>
              <w:rPr>
                <w:rFonts w:hint="eastAsia"/>
                <w:szCs w:val="21"/>
              </w:rPr>
              <w:t>手工</w:t>
            </w:r>
          </w:p>
        </w:tc>
        <w:tc>
          <w:tcPr>
            <w:tcW w:w="1560" w:type="dxa"/>
            <w:vAlign w:val="center"/>
          </w:tcPr>
          <w:p>
            <w:pPr>
              <w:pStyle w:val="2"/>
              <w:adjustRightInd w:val="0"/>
              <w:snapToGrid w:val="0"/>
              <w:spacing w:line="276" w:lineRule="auto"/>
              <w:jc w:val="center"/>
              <w:rPr>
                <w:szCs w:val="21"/>
              </w:rPr>
            </w:pPr>
            <w:r>
              <w:rPr>
                <w:rFonts w:hint="eastAsia"/>
                <w:szCs w:val="21"/>
              </w:rPr>
              <w:t>1次/1季度</w:t>
            </w:r>
          </w:p>
        </w:tc>
        <w:tc>
          <w:tcPr>
            <w:tcW w:w="5386" w:type="dxa"/>
            <w:vAlign w:val="center"/>
          </w:tcPr>
          <w:p>
            <w:pPr>
              <w:pStyle w:val="2"/>
              <w:adjustRightInd w:val="0"/>
              <w:snapToGrid w:val="0"/>
              <w:spacing w:line="276" w:lineRule="auto"/>
              <w:jc w:val="center"/>
              <w:rPr>
                <w:szCs w:val="21"/>
              </w:rPr>
            </w:pPr>
            <w:r>
              <w:rPr>
                <w:rFonts w:hint="eastAsia"/>
                <w:szCs w:val="21"/>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shd w:val="clear" w:color="auto" w:fill="auto"/>
            <w:vAlign w:val="center"/>
          </w:tcPr>
          <w:p>
            <w:pPr>
              <w:pStyle w:val="2"/>
              <w:adjustRightInd w:val="0"/>
              <w:snapToGrid w:val="0"/>
              <w:spacing w:line="276" w:lineRule="auto"/>
              <w:jc w:val="center"/>
              <w:rPr>
                <w:szCs w:val="21"/>
              </w:rPr>
            </w:pPr>
            <w:r>
              <w:rPr>
                <w:rFonts w:hint="eastAsia"/>
                <w:szCs w:val="21"/>
              </w:rPr>
              <w:t>氨罐区周边</w:t>
            </w:r>
          </w:p>
        </w:tc>
        <w:tc>
          <w:tcPr>
            <w:tcW w:w="2552" w:type="dxa"/>
            <w:shd w:val="clear" w:color="auto" w:fill="auto"/>
            <w:vAlign w:val="center"/>
          </w:tcPr>
          <w:p>
            <w:pPr>
              <w:pStyle w:val="2"/>
              <w:adjustRightInd w:val="0"/>
              <w:snapToGrid w:val="0"/>
              <w:spacing w:line="276" w:lineRule="auto"/>
              <w:jc w:val="center"/>
              <w:rPr>
                <w:szCs w:val="21"/>
              </w:rPr>
            </w:pPr>
            <w:r>
              <w:rPr>
                <w:rFonts w:hint="eastAsia"/>
                <w:szCs w:val="21"/>
              </w:rPr>
              <w:t>氨</w:t>
            </w:r>
          </w:p>
        </w:tc>
        <w:tc>
          <w:tcPr>
            <w:tcW w:w="1701" w:type="dxa"/>
            <w:vAlign w:val="center"/>
          </w:tcPr>
          <w:p>
            <w:pPr>
              <w:pStyle w:val="2"/>
              <w:adjustRightInd w:val="0"/>
              <w:snapToGrid w:val="0"/>
              <w:spacing w:line="276" w:lineRule="auto"/>
              <w:jc w:val="center"/>
              <w:rPr>
                <w:szCs w:val="21"/>
              </w:rPr>
            </w:pPr>
            <w:r>
              <w:rPr>
                <w:rFonts w:hint="eastAsia"/>
                <w:szCs w:val="21"/>
              </w:rPr>
              <w:t>排污许可证</w:t>
            </w:r>
          </w:p>
        </w:tc>
        <w:tc>
          <w:tcPr>
            <w:tcW w:w="1275" w:type="dxa"/>
            <w:vAlign w:val="center"/>
          </w:tcPr>
          <w:p>
            <w:pPr>
              <w:pStyle w:val="2"/>
              <w:adjustRightInd w:val="0"/>
              <w:snapToGrid w:val="0"/>
              <w:spacing w:line="276" w:lineRule="auto"/>
              <w:jc w:val="center"/>
              <w:rPr>
                <w:szCs w:val="21"/>
              </w:rPr>
            </w:pPr>
            <w:r>
              <w:rPr>
                <w:rFonts w:hint="eastAsia"/>
                <w:szCs w:val="21"/>
              </w:rPr>
              <w:t>手工</w:t>
            </w:r>
          </w:p>
        </w:tc>
        <w:tc>
          <w:tcPr>
            <w:tcW w:w="1560" w:type="dxa"/>
            <w:vAlign w:val="center"/>
          </w:tcPr>
          <w:p>
            <w:pPr>
              <w:pStyle w:val="2"/>
              <w:adjustRightInd w:val="0"/>
              <w:snapToGrid w:val="0"/>
              <w:spacing w:line="276" w:lineRule="auto"/>
              <w:jc w:val="center"/>
              <w:rPr>
                <w:szCs w:val="21"/>
              </w:rPr>
            </w:pPr>
            <w:r>
              <w:rPr>
                <w:rFonts w:hint="eastAsia"/>
                <w:szCs w:val="21"/>
              </w:rPr>
              <w:t>1次/1季度</w:t>
            </w:r>
          </w:p>
        </w:tc>
        <w:tc>
          <w:tcPr>
            <w:tcW w:w="5386" w:type="dxa"/>
            <w:vAlign w:val="center"/>
          </w:tcPr>
          <w:p>
            <w:pPr>
              <w:pStyle w:val="2"/>
              <w:adjustRightInd w:val="0"/>
              <w:snapToGrid w:val="0"/>
              <w:spacing w:line="276" w:lineRule="auto"/>
              <w:jc w:val="center"/>
              <w:rPr>
                <w:szCs w:val="21"/>
              </w:rPr>
            </w:pPr>
            <w:r>
              <w:rPr>
                <w:rFonts w:hint="eastAsia"/>
                <w:szCs w:val="21"/>
              </w:rPr>
              <w:t>环境空气和废气 氨的测定 纳氏试剂分光光度法HJ 533-2009 代替GB/T14668-93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shd w:val="clear" w:color="auto" w:fill="auto"/>
            <w:vAlign w:val="center"/>
          </w:tcPr>
          <w:p>
            <w:pPr>
              <w:pStyle w:val="2"/>
              <w:adjustRightInd w:val="0"/>
              <w:snapToGrid w:val="0"/>
              <w:spacing w:line="276" w:lineRule="auto"/>
              <w:jc w:val="center"/>
              <w:rPr>
                <w:szCs w:val="21"/>
              </w:rPr>
            </w:pPr>
            <w:r>
              <w:rPr>
                <w:rFonts w:hint="eastAsia"/>
                <w:szCs w:val="21"/>
              </w:rPr>
              <w:t>厂界</w:t>
            </w:r>
          </w:p>
        </w:tc>
        <w:tc>
          <w:tcPr>
            <w:tcW w:w="2552" w:type="dxa"/>
            <w:shd w:val="clear" w:color="auto" w:fill="auto"/>
            <w:vAlign w:val="center"/>
          </w:tcPr>
          <w:p>
            <w:pPr>
              <w:pStyle w:val="2"/>
              <w:adjustRightInd w:val="0"/>
              <w:snapToGrid w:val="0"/>
              <w:spacing w:line="276" w:lineRule="auto"/>
              <w:jc w:val="center"/>
              <w:rPr>
                <w:szCs w:val="21"/>
              </w:rPr>
            </w:pPr>
            <w:r>
              <w:rPr>
                <w:rFonts w:hint="eastAsia"/>
                <w:szCs w:val="21"/>
              </w:rPr>
              <w:t>总悬浮颗粒物（空气动力学当量直径100μm以下）</w:t>
            </w:r>
          </w:p>
        </w:tc>
        <w:tc>
          <w:tcPr>
            <w:tcW w:w="1701" w:type="dxa"/>
            <w:vAlign w:val="center"/>
          </w:tcPr>
          <w:p>
            <w:pPr>
              <w:pStyle w:val="2"/>
              <w:adjustRightInd w:val="0"/>
              <w:snapToGrid w:val="0"/>
              <w:spacing w:line="276" w:lineRule="auto"/>
              <w:jc w:val="center"/>
              <w:rPr>
                <w:szCs w:val="21"/>
              </w:rPr>
            </w:pPr>
            <w:r>
              <w:rPr>
                <w:rFonts w:hint="eastAsia"/>
                <w:szCs w:val="21"/>
              </w:rPr>
              <w:t>排污许可证</w:t>
            </w:r>
          </w:p>
        </w:tc>
        <w:tc>
          <w:tcPr>
            <w:tcW w:w="1275" w:type="dxa"/>
            <w:vAlign w:val="center"/>
          </w:tcPr>
          <w:p>
            <w:pPr>
              <w:pStyle w:val="2"/>
              <w:adjustRightInd w:val="0"/>
              <w:snapToGrid w:val="0"/>
              <w:spacing w:line="276" w:lineRule="auto"/>
              <w:jc w:val="center"/>
              <w:rPr>
                <w:szCs w:val="21"/>
              </w:rPr>
            </w:pPr>
            <w:r>
              <w:rPr>
                <w:rFonts w:hint="eastAsia"/>
                <w:szCs w:val="21"/>
              </w:rPr>
              <w:t>手工</w:t>
            </w:r>
          </w:p>
        </w:tc>
        <w:tc>
          <w:tcPr>
            <w:tcW w:w="1560" w:type="dxa"/>
            <w:vAlign w:val="center"/>
          </w:tcPr>
          <w:p>
            <w:pPr>
              <w:pStyle w:val="2"/>
              <w:adjustRightInd w:val="0"/>
              <w:snapToGrid w:val="0"/>
              <w:spacing w:line="276" w:lineRule="auto"/>
              <w:jc w:val="center"/>
              <w:rPr>
                <w:szCs w:val="21"/>
              </w:rPr>
            </w:pPr>
            <w:r>
              <w:rPr>
                <w:rFonts w:hint="eastAsia"/>
                <w:szCs w:val="21"/>
              </w:rPr>
              <w:t>1次/1季度</w:t>
            </w:r>
          </w:p>
        </w:tc>
        <w:tc>
          <w:tcPr>
            <w:tcW w:w="5386" w:type="dxa"/>
            <w:vAlign w:val="center"/>
          </w:tcPr>
          <w:p>
            <w:pPr>
              <w:pStyle w:val="2"/>
              <w:adjustRightInd w:val="0"/>
              <w:snapToGrid w:val="0"/>
              <w:spacing w:line="276" w:lineRule="auto"/>
              <w:jc w:val="center"/>
              <w:rPr>
                <w:szCs w:val="21"/>
              </w:rPr>
            </w:pPr>
            <w:r>
              <w:rPr>
                <w:rFonts w:hint="eastAsia"/>
                <w:szCs w:val="21"/>
              </w:rPr>
              <w:t>环境空气总悬浮物颗粒物的测定重量法GB/T15432-1995</w:t>
            </w:r>
          </w:p>
        </w:tc>
      </w:tr>
    </w:tbl>
    <w:p>
      <w:pPr>
        <w:pStyle w:val="14"/>
        <w:spacing w:line="360" w:lineRule="auto"/>
        <w:ind w:firstLine="0" w:firstLineChars="0"/>
        <w:rPr>
          <w:rFonts w:ascii="宋体" w:hAnsi="宋体" w:cs="宋体-PUA"/>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宋体-PUA">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050" w:firstLineChars="2250"/>
      <w:jc w:val="right"/>
    </w:pP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A602B"/>
    <w:multiLevelType w:val="multilevel"/>
    <w:tmpl w:val="106A602B"/>
    <w:lvl w:ilvl="0" w:tentative="0">
      <w:start w:val="4"/>
      <w:numFmt w:val="japaneseCounting"/>
      <w:lvlText w:val="%1、"/>
      <w:lvlJc w:val="left"/>
      <w:pPr>
        <w:ind w:left="1361" w:hanging="720"/>
      </w:pPr>
      <w:rPr>
        <w:rFonts w:hint="default" w:hAnsi="华文仿宋"/>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abstractNum w:abstractNumId="1">
    <w:nsid w:val="556BF552"/>
    <w:multiLevelType w:val="singleLevel"/>
    <w:tmpl w:val="556BF552"/>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65FBE"/>
    <w:rsid w:val="00022646"/>
    <w:rsid w:val="00032A67"/>
    <w:rsid w:val="00063D57"/>
    <w:rsid w:val="000B6221"/>
    <w:rsid w:val="0010151E"/>
    <w:rsid w:val="00126F9C"/>
    <w:rsid w:val="00161232"/>
    <w:rsid w:val="00190FEE"/>
    <w:rsid w:val="0025209D"/>
    <w:rsid w:val="002530D8"/>
    <w:rsid w:val="00354AE8"/>
    <w:rsid w:val="00372EF6"/>
    <w:rsid w:val="00386471"/>
    <w:rsid w:val="003942D3"/>
    <w:rsid w:val="003B444C"/>
    <w:rsid w:val="003C1243"/>
    <w:rsid w:val="003C2D16"/>
    <w:rsid w:val="003F0A83"/>
    <w:rsid w:val="003F0BAA"/>
    <w:rsid w:val="004062E6"/>
    <w:rsid w:val="00412171"/>
    <w:rsid w:val="004169B9"/>
    <w:rsid w:val="004421D9"/>
    <w:rsid w:val="004D19E3"/>
    <w:rsid w:val="004F63E2"/>
    <w:rsid w:val="00510E9E"/>
    <w:rsid w:val="00545485"/>
    <w:rsid w:val="00554836"/>
    <w:rsid w:val="005A72AC"/>
    <w:rsid w:val="005C7650"/>
    <w:rsid w:val="005F0441"/>
    <w:rsid w:val="005F4BD6"/>
    <w:rsid w:val="00631BE9"/>
    <w:rsid w:val="00643DFD"/>
    <w:rsid w:val="006936B4"/>
    <w:rsid w:val="006D3BA1"/>
    <w:rsid w:val="00722439"/>
    <w:rsid w:val="00757445"/>
    <w:rsid w:val="00760607"/>
    <w:rsid w:val="00771B9E"/>
    <w:rsid w:val="00777942"/>
    <w:rsid w:val="007A697B"/>
    <w:rsid w:val="007B51A8"/>
    <w:rsid w:val="00816196"/>
    <w:rsid w:val="00834E01"/>
    <w:rsid w:val="0083661A"/>
    <w:rsid w:val="008469E2"/>
    <w:rsid w:val="00872389"/>
    <w:rsid w:val="0087433A"/>
    <w:rsid w:val="0088291A"/>
    <w:rsid w:val="008C2FD7"/>
    <w:rsid w:val="008C4B81"/>
    <w:rsid w:val="008D3172"/>
    <w:rsid w:val="0090080F"/>
    <w:rsid w:val="0091139E"/>
    <w:rsid w:val="009244EA"/>
    <w:rsid w:val="009367D7"/>
    <w:rsid w:val="00974C65"/>
    <w:rsid w:val="00974E3F"/>
    <w:rsid w:val="00984B78"/>
    <w:rsid w:val="009950D1"/>
    <w:rsid w:val="009B2AED"/>
    <w:rsid w:val="00A021AC"/>
    <w:rsid w:val="00A0394D"/>
    <w:rsid w:val="00A073B4"/>
    <w:rsid w:val="00A80E84"/>
    <w:rsid w:val="00A924E1"/>
    <w:rsid w:val="00AE6532"/>
    <w:rsid w:val="00B71F9D"/>
    <w:rsid w:val="00BC113E"/>
    <w:rsid w:val="00BF4601"/>
    <w:rsid w:val="00C2352D"/>
    <w:rsid w:val="00D20426"/>
    <w:rsid w:val="00D65FBE"/>
    <w:rsid w:val="00DC7BEA"/>
    <w:rsid w:val="00DE2026"/>
    <w:rsid w:val="00DE35E2"/>
    <w:rsid w:val="00DE63EC"/>
    <w:rsid w:val="00E02E57"/>
    <w:rsid w:val="00E67CFF"/>
    <w:rsid w:val="00F8362E"/>
    <w:rsid w:val="00F84E57"/>
    <w:rsid w:val="00FA4458"/>
    <w:rsid w:val="00FF2638"/>
    <w:rsid w:val="00FF3F6B"/>
    <w:rsid w:val="64FC0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5"/>
    <w:uiPriority w:val="0"/>
    <w:pPr>
      <w:spacing w:line="360" w:lineRule="exact"/>
    </w:pPr>
    <w:rPr>
      <w:rFonts w:ascii="Times New Roman" w:hAnsi="Times New Roman" w:eastAsia="宋体" w:cs="Times New Roman"/>
    </w:rPr>
  </w:style>
  <w:style w:type="paragraph" w:styleId="3">
    <w:name w:val="Plain Text"/>
    <w:basedOn w:val="1"/>
    <w:link w:val="13"/>
    <w:qFormat/>
    <w:uiPriority w:val="0"/>
    <w:rPr>
      <w:rFonts w:ascii="宋体" w:hAnsi="Courier New"/>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uiPriority w:val="0"/>
    <w:pPr>
      <w:tabs>
        <w:tab w:val="center" w:pos="4153"/>
        <w:tab w:val="right" w:pos="8306"/>
      </w:tabs>
      <w:snapToGrid w:val="0"/>
      <w:jc w:val="left"/>
    </w:pPr>
    <w:rPr>
      <w:sz w:val="18"/>
      <w:szCs w:val="18"/>
    </w:rPr>
  </w:style>
  <w:style w:type="paragraph" w:styleId="6">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7"/>
    <w:link w:val="6"/>
    <w:semiHidden/>
    <w:qFormat/>
    <w:uiPriority w:val="99"/>
    <w:rPr>
      <w:sz w:val="18"/>
      <w:szCs w:val="18"/>
    </w:rPr>
  </w:style>
  <w:style w:type="character" w:customStyle="1" w:styleId="10">
    <w:name w:val="页脚 Char"/>
    <w:basedOn w:val="7"/>
    <w:link w:val="5"/>
    <w:qFormat/>
    <w:uiPriority w:val="99"/>
    <w:rPr>
      <w:sz w:val="18"/>
      <w:szCs w:val="18"/>
    </w:rPr>
  </w:style>
  <w:style w:type="character" w:customStyle="1" w:styleId="11">
    <w:name w:val="批注框文本 Char"/>
    <w:basedOn w:val="7"/>
    <w:link w:val="4"/>
    <w:semiHidden/>
    <w:uiPriority w:val="99"/>
    <w:rPr>
      <w:sz w:val="18"/>
      <w:szCs w:val="18"/>
    </w:rPr>
  </w:style>
  <w:style w:type="character" w:customStyle="1" w:styleId="12">
    <w:name w:val="纯文本 Char"/>
    <w:basedOn w:val="7"/>
    <w:link w:val="3"/>
    <w:qFormat/>
    <w:uiPriority w:val="0"/>
    <w:rPr>
      <w:rFonts w:ascii="宋体" w:hAnsi="Courier New"/>
    </w:rPr>
  </w:style>
  <w:style w:type="character" w:customStyle="1" w:styleId="13">
    <w:name w:val="纯文本 Char1"/>
    <w:basedOn w:val="7"/>
    <w:link w:val="3"/>
    <w:semiHidden/>
    <w:qFormat/>
    <w:uiPriority w:val="99"/>
    <w:rPr>
      <w:rFonts w:ascii="宋体" w:hAnsi="Courier New" w:eastAsia="宋体" w:cs="Courier New"/>
      <w:szCs w:val="21"/>
    </w:rPr>
  </w:style>
  <w:style w:type="paragraph" w:styleId="14">
    <w:name w:val="List Paragraph"/>
    <w:basedOn w:val="1"/>
    <w:qFormat/>
    <w:uiPriority w:val="34"/>
    <w:pPr>
      <w:ind w:firstLine="420" w:firstLineChars="200"/>
    </w:pPr>
    <w:rPr>
      <w:rFonts w:ascii="Calibri" w:hAnsi="Calibri" w:eastAsia="宋体" w:cs="Times New Roman"/>
    </w:rPr>
  </w:style>
  <w:style w:type="character" w:customStyle="1" w:styleId="15">
    <w:name w:val="正文文本 Char"/>
    <w:basedOn w:val="7"/>
    <w:link w:val="2"/>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4F031A-F3AB-4A2F-B960-7AB8DE62F428}">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19</Pages>
  <Words>1055</Words>
  <Characters>6019</Characters>
  <Lines>50</Lines>
  <Paragraphs>14</Paragraphs>
  <TotalTime>18</TotalTime>
  <ScaleCrop>false</ScaleCrop>
  <LinksUpToDate>false</LinksUpToDate>
  <CharactersWithSpaces>7060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2016-01-06T11:14:00Z</dcterms:created>
  <dc:creator>许晓宇</dc:creator>
  <cp:lastModifiedBy>李健平/hnhlj</cp:lastModifiedBy>
  <cp:lastPrinted>2018-07-02T02:21:00Z</cp:lastPrinted>
  <dcterms:modified xsi:type="dcterms:W3CDTF">2019-01-21T03:02:38Z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