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污染源监测年度报告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根据《国家重点监控企业自行监测及信息公开办法（试行）》要求，现予以公布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双鸭山翁氏环保</w:t>
      </w:r>
      <w:r>
        <w:rPr>
          <w:rFonts w:hint="eastAsia" w:ascii="仿宋" w:hAnsi="仿宋" w:eastAsia="仿宋" w:cs="仿宋"/>
          <w:sz w:val="30"/>
          <w:szCs w:val="30"/>
        </w:rPr>
        <w:t>有限公司</w:t>
      </w:r>
      <w:r>
        <w:rPr>
          <w:rFonts w:hint="eastAsia"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年度企业自行监测情况。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  </w:t>
      </w:r>
      <w:r>
        <w:rPr>
          <w:rFonts w:hint="eastAsia" w:ascii="仿宋" w:hAnsi="仿宋" w:eastAsia="仿宋" w:cs="仿宋"/>
          <w:sz w:val="30"/>
          <w:szCs w:val="30"/>
        </w:rPr>
        <w:t>一、</w:t>
      </w:r>
      <w:r>
        <w:rPr>
          <w:rFonts w:hint="eastAsia" w:ascii="仿宋" w:hAnsi="仿宋" w:eastAsia="仿宋" w:cs="仿宋"/>
          <w:sz w:val="30"/>
          <w:szCs w:val="30"/>
        </w:rPr>
        <w:t> </w:t>
      </w:r>
      <w:r>
        <w:rPr>
          <w:rFonts w:hint="eastAsia" w:ascii="仿宋" w:hAnsi="仿宋" w:eastAsia="仿宋" w:cs="仿宋"/>
          <w:sz w:val="30"/>
          <w:szCs w:val="30"/>
        </w:rPr>
        <w:t>企业概况</w:t>
      </w:r>
      <w:r>
        <w:rPr>
          <w:rFonts w:hint="eastAsia" w:ascii="仿宋" w:hAnsi="仿宋" w:eastAsia="仿宋" w:cs="仿宋"/>
          <w:sz w:val="30"/>
          <w:szCs w:val="30"/>
        </w:rPr>
        <w:t>      </w:t>
      </w:r>
    </w:p>
    <w:p>
      <w:pPr>
        <w:ind w:firstLine="450" w:firstLineChars="1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公司在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双鸭山市四方台</w:t>
      </w:r>
      <w:r>
        <w:rPr>
          <w:rFonts w:hint="eastAsia" w:ascii="仿宋" w:hAnsi="仿宋" w:eastAsia="仿宋" w:cs="仿宋"/>
          <w:sz w:val="30"/>
          <w:szCs w:val="30"/>
        </w:rPr>
        <w:t>区投资建设的日处理</w:t>
      </w: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医疗废物</w:t>
      </w:r>
      <w:r>
        <w:rPr>
          <w:rFonts w:hint="eastAsia" w:ascii="仿宋" w:hAnsi="仿宋" w:eastAsia="仿宋" w:cs="仿宋"/>
          <w:sz w:val="30"/>
          <w:szCs w:val="30"/>
        </w:rPr>
        <w:t>项目，环保工程于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2011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月开工建设，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2012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 </w:t>
      </w:r>
      <w:r>
        <w:rPr>
          <w:rFonts w:hint="eastAsia" w:ascii="仿宋" w:hAnsi="仿宋" w:eastAsia="仿宋" w:cs="仿宋"/>
          <w:sz w:val="30"/>
          <w:szCs w:val="30"/>
        </w:rPr>
        <w:t>月基本建成并于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2012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月投入了试生产。项目规划总占地面积约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4010</w:t>
      </w:r>
      <w:r>
        <w:rPr>
          <w:rFonts w:hint="eastAsia" w:ascii="仿宋" w:hAnsi="仿宋" w:eastAsia="仿宋" w:cs="仿宋"/>
          <w:sz w:val="30"/>
          <w:szCs w:val="30"/>
        </w:rPr>
        <w:t>平方米，主要建设设施包括：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生产车间、污水处理车间、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办公楼</w:t>
      </w:r>
      <w:r>
        <w:rPr>
          <w:rFonts w:hint="eastAsia" w:ascii="仿宋" w:hAnsi="仿宋" w:eastAsia="仿宋" w:cs="仿宋"/>
          <w:sz w:val="30"/>
          <w:szCs w:val="30"/>
        </w:rPr>
        <w:t>等，总建筑面积约为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930</w:t>
      </w:r>
      <w:r>
        <w:rPr>
          <w:rFonts w:hint="eastAsia" w:ascii="仿宋" w:hAnsi="仿宋" w:eastAsia="仿宋" w:cs="仿宋"/>
          <w:sz w:val="30"/>
          <w:szCs w:val="30"/>
        </w:rPr>
        <w:t>平方米，项目总投资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863</w:t>
      </w:r>
      <w:r>
        <w:rPr>
          <w:rFonts w:hint="eastAsia" w:ascii="仿宋" w:hAnsi="仿宋" w:eastAsia="仿宋" w:cs="仿宋"/>
          <w:sz w:val="30"/>
          <w:szCs w:val="30"/>
        </w:rPr>
        <w:t>万人民币。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2012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7月</w:t>
      </w:r>
      <w:r>
        <w:rPr>
          <w:rFonts w:hint="eastAsia" w:ascii="仿宋" w:hAnsi="仿宋" w:eastAsia="仿宋" w:cs="仿宋"/>
          <w:sz w:val="30"/>
          <w:szCs w:val="30"/>
        </w:rPr>
        <w:t>通过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黑龙江省环境保护厅</w:t>
      </w:r>
      <w:r>
        <w:rPr>
          <w:rFonts w:hint="eastAsia" w:ascii="仿宋" w:hAnsi="仿宋" w:eastAsia="仿宋" w:cs="仿宋"/>
          <w:sz w:val="30"/>
          <w:szCs w:val="30"/>
        </w:rPr>
        <w:t>验收（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黑环验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99号</w:t>
      </w:r>
      <w:r>
        <w:rPr>
          <w:rFonts w:hint="eastAsia" w:ascii="仿宋" w:hAnsi="仿宋" w:eastAsia="仿宋" w:cs="仿宋"/>
          <w:sz w:val="30"/>
          <w:szCs w:val="30"/>
        </w:rPr>
        <w:t>）。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  </w:t>
      </w:r>
      <w:r>
        <w:rPr>
          <w:rFonts w:hint="eastAsia" w:ascii="仿宋" w:hAnsi="仿宋" w:eastAsia="仿宋" w:cs="仿宋"/>
          <w:sz w:val="30"/>
          <w:szCs w:val="30"/>
        </w:rPr>
        <w:t>二、</w:t>
      </w:r>
      <w:r>
        <w:rPr>
          <w:rFonts w:hint="eastAsia" w:ascii="仿宋" w:hAnsi="仿宋" w:eastAsia="仿宋" w:cs="仿宋"/>
          <w:sz w:val="30"/>
          <w:szCs w:val="30"/>
        </w:rPr>
        <w:t> 20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 w:cs="仿宋"/>
          <w:sz w:val="30"/>
          <w:szCs w:val="30"/>
        </w:rPr>
        <w:t>年企业废水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、废气及噪声</w:t>
      </w:r>
      <w:r>
        <w:rPr>
          <w:rFonts w:hint="eastAsia" w:ascii="仿宋" w:hAnsi="仿宋" w:eastAsia="仿宋" w:cs="仿宋"/>
          <w:sz w:val="30"/>
          <w:szCs w:val="30"/>
        </w:rPr>
        <w:t>产生、处理情况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年委托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黑龙江蓝洋环保工程检测有限公司</w:t>
      </w:r>
      <w:r>
        <w:rPr>
          <w:rFonts w:hint="eastAsia" w:ascii="仿宋" w:hAnsi="仿宋" w:eastAsia="仿宋" w:cs="仿宋"/>
          <w:sz w:val="30"/>
          <w:szCs w:val="30"/>
        </w:rPr>
        <w:t>环境监测站进行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水、气及</w:t>
      </w:r>
      <w:r>
        <w:rPr>
          <w:rFonts w:hint="eastAsia" w:ascii="仿宋" w:hAnsi="仿宋" w:eastAsia="仿宋" w:cs="仿宋"/>
          <w:sz w:val="30"/>
          <w:szCs w:val="30"/>
        </w:rPr>
        <w:t>噪声监测。监测汇总如下：</w:t>
      </w:r>
    </w:p>
    <w:p>
      <w:pPr>
        <w:numPr>
          <w:ilvl w:val="0"/>
          <w:numId w:val="1"/>
        </w:numPr>
        <w:ind w:firstLine="300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 </w:t>
      </w:r>
      <w:r>
        <w:rPr>
          <w:rFonts w:hint="eastAsia" w:ascii="仿宋" w:hAnsi="仿宋" w:eastAsia="仿宋" w:cs="仿宋"/>
          <w:sz w:val="30"/>
          <w:szCs w:val="30"/>
        </w:rPr>
        <w:t>废水处理</w:t>
      </w:r>
      <w:r>
        <w:rPr>
          <w:rFonts w:hint="eastAsia" w:ascii="仿宋" w:hAnsi="仿宋" w:eastAsia="仿宋" w:cs="仿宋"/>
          <w:sz w:val="30"/>
          <w:szCs w:val="30"/>
        </w:rPr>
        <w:t xml:space="preserve">  </w:t>
      </w:r>
      <w:r>
        <w:rPr>
          <w:rFonts w:hint="eastAsia" w:ascii="仿宋" w:hAnsi="仿宋" w:eastAsia="仿宋" w:cs="仿宋"/>
          <w:sz w:val="30"/>
          <w:szCs w:val="30"/>
        </w:rPr>
        <w:t>采用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MBR</w:t>
      </w:r>
      <w:r>
        <w:rPr>
          <w:rFonts w:hint="eastAsia" w:ascii="仿宋" w:hAnsi="仿宋" w:eastAsia="仿宋" w:cs="仿宋"/>
          <w:sz w:val="30"/>
          <w:szCs w:val="30"/>
        </w:rPr>
        <w:t>处理技术，污水经格删预处理后，进入初沉池，调节</w:t>
      </w:r>
      <w:r>
        <w:rPr>
          <w:rFonts w:hint="eastAsia" w:ascii="仿宋" w:hAnsi="仿宋" w:eastAsia="仿宋" w:cs="仿宋"/>
          <w:sz w:val="30"/>
          <w:szCs w:val="30"/>
        </w:rPr>
        <w:t>pH=8</w:t>
      </w:r>
      <w:r>
        <w:rPr>
          <w:rFonts w:hint="eastAsia" w:ascii="仿宋" w:hAnsi="仿宋" w:eastAsia="仿宋" w:cs="仿宋"/>
          <w:sz w:val="30"/>
          <w:szCs w:val="30"/>
        </w:rPr>
        <w:t>，进入厌氧池对污水中的有机物进行厌氧酸化处理，然后经生化池进行好氧生化处理，最后流至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生物膜</w:t>
      </w:r>
      <w:r>
        <w:rPr>
          <w:rFonts w:hint="eastAsia" w:ascii="仿宋" w:hAnsi="仿宋" w:eastAsia="仿宋" w:cs="仿宋"/>
          <w:sz w:val="30"/>
          <w:szCs w:val="30"/>
        </w:rPr>
        <w:t>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分解</w:t>
      </w:r>
      <w:r>
        <w:rPr>
          <w:rFonts w:hint="eastAsia" w:ascii="仿宋" w:hAnsi="仿宋" w:eastAsia="仿宋" w:cs="仿宋"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后</w:t>
      </w:r>
      <w:r>
        <w:rPr>
          <w:rFonts w:hint="eastAsia" w:ascii="仿宋" w:hAnsi="仿宋" w:eastAsia="仿宋" w:cs="仿宋"/>
          <w:sz w:val="30"/>
          <w:szCs w:val="30"/>
        </w:rPr>
        <w:t>经提升泵提升回流到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清水</w:t>
      </w:r>
      <w:r>
        <w:rPr>
          <w:rFonts w:hint="eastAsia" w:ascii="仿宋" w:hAnsi="仿宋" w:eastAsia="仿宋" w:cs="仿宋"/>
          <w:sz w:val="30"/>
          <w:szCs w:val="30"/>
        </w:rPr>
        <w:t>池循环利用。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循环使用多余的清水及生活污水采用罐车</w:t>
      </w:r>
      <w:r>
        <w:rPr>
          <w:rFonts w:hint="eastAsia" w:ascii="仿宋" w:hAnsi="仿宋" w:eastAsia="仿宋" w:cs="仿宋"/>
          <w:sz w:val="30"/>
          <w:szCs w:val="30"/>
        </w:rPr>
        <w:t>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城市</w:t>
      </w:r>
      <w:r>
        <w:rPr>
          <w:rFonts w:hint="eastAsia" w:ascii="仿宋" w:hAnsi="仿宋" w:eastAsia="仿宋" w:cs="仿宋"/>
          <w:sz w:val="30"/>
          <w:szCs w:val="30"/>
        </w:rPr>
        <w:t>污水处理厂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进行处理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numPr>
          <w:ilvl w:val="0"/>
          <w:numId w:val="1"/>
        </w:numPr>
        <w:ind w:firstLine="300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废气处理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采用高效过滤系统（生物膜过滤+活性炭）治理，设置集气装置、收集废气进入等离子体处理，以上废气治理后经过一根15m高排气筒排放。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</w:t>
      </w:r>
      <w:r>
        <w:rPr>
          <w:rFonts w:hint="eastAsia" w:ascii="仿宋" w:hAnsi="仿宋" w:eastAsia="仿宋" w:cs="仿宋"/>
          <w:sz w:val="30"/>
          <w:szCs w:val="30"/>
        </w:rPr>
        <w:t>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委托</w:t>
      </w:r>
      <w:r>
        <w:rPr>
          <w:rFonts w:hint="eastAsia" w:ascii="仿宋" w:hAnsi="仿宋" w:eastAsia="仿宋" w:cs="仿宋"/>
          <w:sz w:val="30"/>
          <w:szCs w:val="30"/>
        </w:rPr>
        <w:t>监测结果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  </w:t>
      </w:r>
      <w:r>
        <w:rPr>
          <w:rFonts w:hint="eastAsia" w:ascii="仿宋" w:hAnsi="仿宋" w:eastAsia="仿宋" w:cs="仿宋"/>
          <w:sz w:val="30"/>
          <w:szCs w:val="30"/>
        </w:rPr>
        <w:t>从</w:t>
      </w:r>
      <w:r>
        <w:rPr>
          <w:rFonts w:hint="eastAsia"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</w:rPr>
        <w:t>01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</w:rPr>
        <w:t>01</w:t>
      </w:r>
      <w:r>
        <w:rPr>
          <w:rFonts w:hint="eastAsia" w:ascii="仿宋" w:hAnsi="仿宋" w:eastAsia="仿宋" w:cs="仿宋"/>
          <w:sz w:val="30"/>
          <w:szCs w:val="30"/>
        </w:rPr>
        <w:t>日开始至</w:t>
      </w:r>
      <w:r>
        <w:rPr>
          <w:rFonts w:hint="eastAsia"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</w:rPr>
        <w:t>12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</w:rPr>
        <w:t>31</w:t>
      </w:r>
      <w:r>
        <w:rPr>
          <w:rFonts w:hint="eastAsia" w:ascii="仿宋" w:hAnsi="仿宋" w:eastAsia="仿宋" w:cs="仿宋"/>
          <w:sz w:val="30"/>
          <w:szCs w:val="30"/>
        </w:rPr>
        <w:t>日结束，全年监测汇总如下：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废水监测：</w:t>
      </w:r>
    </w:p>
    <w:tbl>
      <w:tblPr>
        <w:tblStyle w:val="2"/>
        <w:tblW w:w="85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5"/>
        <w:gridCol w:w="1320"/>
        <w:gridCol w:w="1290"/>
        <w:gridCol w:w="1290"/>
        <w:gridCol w:w="24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生产天数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监测频次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超标情况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监测结果mg/L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悬浮物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氨氮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0.36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总余氯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0.27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无  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五日生化需氧量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石油类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0.01L</w:t>
            </w:r>
            <w:bookmarkStart w:id="0" w:name="_GoBack"/>
            <w:bookmarkEnd w:id="0"/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噪音监测：</w:t>
      </w:r>
    </w:p>
    <w:tbl>
      <w:tblPr>
        <w:tblW w:w="838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5"/>
        <w:gridCol w:w="1590"/>
        <w:gridCol w:w="1515"/>
        <w:gridCol w:w="1545"/>
        <w:gridCol w:w="1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监测点位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监测结果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昼间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夜间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噪音（厂界东面）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dB(A)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噪音（厂界南面）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▲2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dB(A)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噪音（厂界西面）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▲3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dB(A)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噪音（厂界北面）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▲4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dB(A)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废气监测：</w:t>
      </w:r>
    </w:p>
    <w:tbl>
      <w:tblPr>
        <w:tblStyle w:val="2"/>
        <w:tblW w:w="855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2505"/>
        <w:gridCol w:w="2295"/>
        <w:gridCol w:w="2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监测项目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监测点位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监测结果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氨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O1点位（上风向）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0.25L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mg/m³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O2点位（下风向）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0.25L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mg/m³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O3点位（下风向）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0.25L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mg/m³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O4点位（下风向）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0.25L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mg/m³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硫化氢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O1点位（上风向）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mg/m³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O2点位（下风向）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mg/m³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O3点位（下风向）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mg/m³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O4点位（下风向）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mg/m³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</w:t>
      </w:r>
      <w:r>
        <w:rPr>
          <w:rFonts w:hint="eastAsia" w:ascii="仿宋" w:hAnsi="仿宋" w:eastAsia="仿宋" w:cs="仿宋"/>
          <w:sz w:val="30"/>
          <w:szCs w:val="30"/>
        </w:rPr>
        <w:t> </w:t>
      </w:r>
      <w:r>
        <w:rPr>
          <w:rFonts w:hint="eastAsia" w:ascii="仿宋" w:hAnsi="仿宋" w:eastAsia="仿宋" w:cs="仿宋"/>
          <w:sz w:val="30"/>
          <w:szCs w:val="30"/>
        </w:rPr>
        <w:t>未来展望</w:t>
      </w:r>
      <w:r>
        <w:rPr>
          <w:rFonts w:hint="eastAsia" w:ascii="仿宋" w:hAnsi="仿宋" w:eastAsia="仿宋" w:cs="仿宋"/>
          <w:sz w:val="30"/>
          <w:szCs w:val="30"/>
        </w:rPr>
        <w:t>         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 </w:t>
      </w:r>
      <w:r>
        <w:rPr>
          <w:rFonts w:hint="eastAsia" w:ascii="仿宋" w:hAnsi="仿宋" w:eastAsia="仿宋" w:cs="仿宋"/>
          <w:sz w:val="30"/>
          <w:szCs w:val="30"/>
        </w:rPr>
        <w:t xml:space="preserve"> 今后，公司将继续严格按照制度管理，确保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委托</w:t>
      </w:r>
      <w:r>
        <w:rPr>
          <w:rFonts w:hint="eastAsia" w:ascii="仿宋" w:hAnsi="仿宋" w:eastAsia="仿宋" w:cs="仿宋"/>
          <w:sz w:val="30"/>
          <w:szCs w:val="30"/>
        </w:rPr>
        <w:t>监测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及时进</w:t>
      </w:r>
      <w:r>
        <w:rPr>
          <w:rFonts w:hint="eastAsia" w:ascii="仿宋" w:hAnsi="仿宋" w:eastAsia="仿宋" w:cs="仿宋"/>
          <w:sz w:val="30"/>
          <w:szCs w:val="30"/>
        </w:rPr>
        <w:t>行；继续配合环保部门做好相关环境保护与节能减排工作。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 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 </w:t>
      </w:r>
    </w:p>
    <w:p>
      <w:pPr>
        <w:ind w:left="6278" w:leftChars="1704" w:hanging="2700" w:hangingChars="9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双鸭山翁氏环保</w:t>
      </w:r>
      <w:r>
        <w:rPr>
          <w:rFonts w:hint="eastAsia" w:ascii="仿宋" w:hAnsi="仿宋" w:eastAsia="仿宋" w:cs="仿宋"/>
          <w:sz w:val="30"/>
          <w:szCs w:val="30"/>
        </w:rPr>
        <w:t>有限公司</w:t>
      </w:r>
      <w:r>
        <w:rPr>
          <w:rFonts w:hint="eastAsia" w:ascii="仿宋" w:hAnsi="仿宋" w:eastAsia="仿宋" w:cs="仿宋"/>
          <w:sz w:val="30"/>
          <w:szCs w:val="30"/>
        </w:rPr>
        <w:t>  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.0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.08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9B21C7"/>
    <w:multiLevelType w:val="singleLevel"/>
    <w:tmpl w:val="B69B21C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17CEF"/>
    <w:rsid w:val="00017CEF"/>
    <w:rsid w:val="00240B13"/>
    <w:rsid w:val="0096098F"/>
    <w:rsid w:val="15561DCB"/>
    <w:rsid w:val="165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165</Words>
  <Characters>947</Characters>
  <Lines>7</Lines>
  <Paragraphs>2</Paragraphs>
  <TotalTime>2</TotalTime>
  <ScaleCrop>false</ScaleCrop>
  <LinksUpToDate>false</LinksUpToDate>
  <CharactersWithSpaces>1110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2020-04-15T05:00:00Z</dcterms:created>
  <dc:creator>Administrator</dc:creator>
  <cp:lastModifiedBy>Administrator</cp:lastModifiedBy>
  <dcterms:modified xsi:type="dcterms:W3CDTF">2020-04-16T02:08:19Z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