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-914400</wp:posOffset>
            </wp:positionV>
            <wp:extent cx="7530465" cy="10692130"/>
            <wp:effectExtent l="0" t="0" r="635" b="1270"/>
            <wp:wrapSquare wrapText="bothSides"/>
            <wp:docPr id="1" name="图片 1" descr="年度监测报告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年度监测报告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中车齐齐哈尔车辆有限公司</w:t>
      </w:r>
    </w:p>
    <w:p>
      <w:pPr>
        <w:widowControl/>
        <w:spacing w:line="440" w:lineRule="atLeast"/>
        <w:jc w:val="center"/>
        <w:rPr>
          <w:rFonts w:cs="宋体" w:asciiTheme="minorEastAsia" w:hAnsiTheme="minorEastAsia"/>
          <w:b/>
          <w:color w:val="282828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282828"/>
          <w:kern w:val="0"/>
          <w:sz w:val="44"/>
          <w:szCs w:val="44"/>
        </w:rPr>
        <w:t>环境自行监测开展情况年度报告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为规范企业自行监测及信息公开，自觉履行保护环境的义务和社会责任，按照《国家重点监控企业自行监测及信息公开办法（试行）》（环发〔2013〕81号）有关规定，中车齐齐哈尔车辆有限公司于20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年1月1日至20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年12月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日，按照《中车齐齐哈尔车辆有限公司20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年环境自行监测方案》对企业排污情况进行了监测，根据年度自行监测情况编制本报告。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宋体" w:eastAsia="黑体" w:cs="宋体"/>
          <w:color w:val="282828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282828"/>
          <w:kern w:val="0"/>
          <w:sz w:val="32"/>
          <w:szCs w:val="32"/>
        </w:rPr>
        <w:t>一、企业概况及监测能力概况</w:t>
      </w:r>
    </w:p>
    <w:p>
      <w:pPr>
        <w:widowControl/>
        <w:spacing w:line="5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中车齐齐哈尔车辆有限公司（简称中车齐车公司）隶属于中国中车股份有限公司，是我国铁路货车、铁路起重机的设计主导单位、制造领军企业和产品出口基地。公司注册地址为齐齐哈尔市铁锋区，位于齐齐哈尔市铁锋区厂前一路36号，中心经度 124°0′40″，中心纬度 47°20′45″，主营业务为铁路运输装备、配件制造及修理。公司主要产品为铁路货车、起重机及其配件，拥有敞车、棚车、平车、罐车、长大货物车、漏斗车、特种车、铁路起重机及车辆配件等9大系列300多种产品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年公司下设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个生产及辅助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eastAsia="zh-CN"/>
        </w:rPr>
        <w:t>分厂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(分公司)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，主要产品为铁路货车、起重机及其配件，生产用主要原材料及辅助材料有废钢、板材、型材、轴坯、胶泥材料、焊丝、油漆等，主要工艺有铸造、机械加工、焊接和涂装工艺等。公司生产过程中产生的废乳化液、探伤废水、清洗废水等分别由车间统一收集后，送交废乳化液处理站、清洗废水处理站处理，处理达标后排放。公司在厂区南门附近设置污水总排放口，污水经市政管网排放污水处理厂统一处理。在总排放口安装有COD、氨氮自动监测装置，委托有资质第三方运营，确保了污水在线自动监测装置能够正常稳定运行；同时对总口水质采用手工方式进行监测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宋体" w:eastAsia="黑体" w:cs="宋体"/>
          <w:color w:val="282828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282828"/>
          <w:kern w:val="0"/>
          <w:sz w:val="32"/>
          <w:szCs w:val="32"/>
        </w:rPr>
        <w:t>二、监测内容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根据本企业排污特定，确定监测点位及监测项目如表1至表2所示。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1  </w:t>
      </w:r>
      <w:r>
        <w:rPr>
          <w:rFonts w:hint="eastAsia" w:ascii="仿宋_GB2312" w:eastAsia="仿宋_GB2312"/>
          <w:b/>
          <w:sz w:val="32"/>
          <w:szCs w:val="32"/>
        </w:rPr>
        <w:t>废水污染物监测点位及监测项目</w:t>
      </w:r>
    </w:p>
    <w:tbl>
      <w:tblPr>
        <w:tblStyle w:val="6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753"/>
        <w:gridCol w:w="3120"/>
        <w:gridCol w:w="119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污水总排放口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COD、氨氮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pH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连续监测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污水总排放口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pH、悬浮物、COD、BOD</w:t>
            </w:r>
            <w:r>
              <w:rPr>
                <w:rFonts w:hint="eastAsia" w:cs="宋体" w:asciiTheme="minorEastAsia" w:hAnsiTheme="minorEastAsia"/>
                <w:kern w:val="0"/>
                <w:szCs w:val="21"/>
                <w:vertAlign w:val="subscript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、石油类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每月一次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手工自行监测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2  </w:t>
      </w:r>
      <w:r>
        <w:rPr>
          <w:rFonts w:hint="eastAsia" w:ascii="仿宋_GB2312" w:eastAsia="仿宋_GB2312"/>
          <w:b/>
          <w:sz w:val="32"/>
          <w:szCs w:val="32"/>
        </w:rPr>
        <w:t>噪声监测点位及监测项目</w:t>
      </w:r>
    </w:p>
    <w:tbl>
      <w:tblPr>
        <w:tblStyle w:val="6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3228"/>
        <w:gridCol w:w="1568"/>
        <w:gridCol w:w="126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测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项</w:t>
            </w:r>
            <w:r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监测频次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北侧厂界围墙外1米处三个点位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南侧厂界围墙外1米处三个点位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东侧厂界围墙外1米处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eastAsia="zh-CN"/>
              </w:rPr>
              <w:t>两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西侧厂界围墙外1米处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eastAsia="zh-CN"/>
              </w:rPr>
              <w:t>两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个点位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噪声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季度一次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手工自行检测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三、监测分析方法及质量保证措施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1.监测分析方法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本次监测分析方法如表3至表4所示。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表3 监测方法及仪器</w:t>
      </w:r>
    </w:p>
    <w:tbl>
      <w:tblPr>
        <w:tblStyle w:val="6"/>
        <w:tblW w:w="88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559"/>
        <w:gridCol w:w="31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主要仪器、设备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GB/T11901-89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悬浮物的测定 重量法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 637-2012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石油类和动植物油类的测定 红外分光光度法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红外分光测油仪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GB/T6920-86 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PH值的测定 玻璃电极法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酸度计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GB/T11914-89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化学需氧量的测定 重铬酸盐法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COD恒温加热器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COD在线监测装置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 505-2009</w:t>
            </w:r>
          </w:p>
        </w:tc>
        <w:tc>
          <w:tcPr>
            <w:tcW w:w="317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五日生化需氧量的测定 稀释与接种法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溶解氧测定仪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BOD生化培养箱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HJ535-2009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水质 氨氮的测定 纳式试剂分光光度法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氨氮在线监测装置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ascii="仿宋_GB2312" w:eastAsia="仿宋_GB2312"/>
          <w:b/>
          <w:sz w:val="32"/>
          <w:szCs w:val="32"/>
        </w:rPr>
        <w:t xml:space="preserve">4  </w:t>
      </w:r>
      <w:r>
        <w:rPr>
          <w:rFonts w:hint="eastAsia" w:ascii="仿宋_GB2312" w:eastAsia="仿宋_GB2312"/>
          <w:b/>
          <w:sz w:val="32"/>
          <w:szCs w:val="32"/>
        </w:rPr>
        <w:t>噪声监测方法</w:t>
      </w:r>
    </w:p>
    <w:tbl>
      <w:tblPr>
        <w:tblStyle w:val="6"/>
        <w:tblW w:w="88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1559"/>
        <w:gridCol w:w="31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顺号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文件类别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文件编号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主要仪器、设备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GB12348-2008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《工业企业厂界环境噪声排放标准》5.测量方法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AWA5610C型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积分声级计</w:t>
            </w:r>
          </w:p>
        </w:tc>
      </w:tr>
    </w:tbl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2.质量保证措施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按照《固定污染源质量保证和质量控制技术规范》（试行）（HJ/T373-2007）进行。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理布置监测点，保证各监测点位布设的科学性和可比性。采样人员遵守采样操作规程，认真填写采样记录，按规定保存、运输样品。同时，监测分析方法均采用国家标准和环保部颁布的分析方法，监测人员经考核持证上岗。所有监测仪器、量具均经过公司质检部门检定合格并在有效期内使用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严格执行监测方案。认真如实填写各项自行监测记录及校验记录并妥善保存记录台帐，包括采样记录、样品保存、分析测试记录、监测报告等。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四、年度监测总结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bCs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1.监测方案调整变化情况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bCs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282828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Cs/>
          <w:color w:val="282828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color w:val="282828"/>
          <w:kern w:val="0"/>
          <w:sz w:val="32"/>
          <w:szCs w:val="32"/>
        </w:rPr>
        <w:t>年度企业自行监测方案无调整变化。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bCs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2.监测期间达标情况</w:t>
      </w:r>
    </w:p>
    <w:p>
      <w:pPr>
        <w:widowControl/>
        <w:spacing w:line="440" w:lineRule="atLeast"/>
        <w:ind w:firstLine="555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（1）本企业201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年生产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lang w:eastAsia="zh-CN"/>
        </w:rPr>
        <w:t>稳定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，废水有规律连续排放，对pH、悬浮物、COD、BOD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vertAlign w:val="subscript"/>
        </w:rPr>
        <w:t>5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、氨氮、石油类等监测项目，采用自动监测+手工监测方式正常开展监测，全年废水各指标达标率为100%。</w:t>
      </w:r>
    </w:p>
    <w:p>
      <w:pPr>
        <w:widowControl/>
        <w:spacing w:line="440" w:lineRule="atLeast"/>
        <w:ind w:firstLine="555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（2）公司厂界噪声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个监测点位每季度监测一次，共监测四次（昼间4次、夜间4次），达标4次，达标率100%。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b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3.排放总量</w:t>
      </w:r>
    </w:p>
    <w:p>
      <w:pPr>
        <w:widowControl/>
        <w:spacing w:line="44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本企业全年生产用水436827吨，废水排放量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349459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吨，COD排放量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23.63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吨，氨氮排放量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吨；二氧化硫排放量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吨，氮氧化物排放量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6.87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吨。</w:t>
      </w:r>
    </w:p>
    <w:p>
      <w:pPr>
        <w:widowControl/>
        <w:spacing w:line="440" w:lineRule="atLeast"/>
        <w:ind w:firstLine="630" w:firstLineChars="196"/>
        <w:jc w:val="left"/>
        <w:rPr>
          <w:rFonts w:ascii="楷体_GB2312" w:hAnsi="宋体" w:eastAsia="楷体_GB2312" w:cs="宋体"/>
          <w:color w:val="28282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282828"/>
          <w:kern w:val="0"/>
          <w:sz w:val="32"/>
          <w:szCs w:val="32"/>
        </w:rPr>
        <w:t>4.固体废物排放情况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本企业固体废弃物为一般废物和危险废物，一般废物有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铸造废砂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冶炼废渣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等，产生总量为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35597.78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吨，全部综合利用；危险废物包括漆渣、废矿物油、废乳化液、废石棉、乳化液滤渣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、含油废物、密封胶罐、含水乙二醇废物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和其它废物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，总产生量为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430.1吨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，废乳化液在公司废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处理站处理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4.1吨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，废矿物油转移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齐齐哈尔市锐拓废油回收有限公司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132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吨，漆渣、废石棉、乳化液滤渣等危废转移至黑龙江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云水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环境技术服务有限公司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294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吨。</w:t>
      </w:r>
    </w:p>
    <w:p>
      <w:pPr>
        <w:widowControl/>
        <w:spacing w:line="420" w:lineRule="atLeast"/>
        <w:ind w:firstLine="640" w:firstLineChars="200"/>
        <w:jc w:val="left"/>
        <w:outlineLvl w:val="0"/>
        <w:rPr>
          <w:rFonts w:ascii="黑体" w:hAnsi="Tahoma" w:eastAsia="黑体" w:cs="Tahoma"/>
          <w:color w:val="282828"/>
          <w:kern w:val="36"/>
          <w:sz w:val="32"/>
          <w:szCs w:val="32"/>
        </w:rPr>
      </w:pPr>
      <w:r>
        <w:rPr>
          <w:rFonts w:hint="eastAsia" w:ascii="黑体" w:hAnsi="Tahoma" w:eastAsia="黑体" w:cs="Tahoma"/>
          <w:color w:val="282828"/>
          <w:kern w:val="36"/>
          <w:sz w:val="32"/>
          <w:szCs w:val="32"/>
        </w:rPr>
        <w:t>五、自行监测结果公布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我公司全年自行监测结果公布情况：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（1）对外公布方式：公布在省重点监控企业环境自行监测信息发布平台</w:t>
      </w: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公司网站。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（2）公布时限：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①废水自动监测设备为每2小时均值。</w:t>
      </w: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②厂界噪声每季度公布一次。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（3）公布内容：</w:t>
      </w:r>
    </w:p>
    <w:p>
      <w:pPr>
        <w:widowControl/>
        <w:spacing w:line="560" w:lineRule="atLeast"/>
        <w:ind w:firstLine="640" w:firstLineChars="200"/>
        <w:jc w:val="left"/>
        <w:rPr>
          <w:rFonts w:ascii="仿宋_GB2312" w:hAnsi="Tahoma" w:eastAsia="仿宋_GB2312" w:cs="Tahoma"/>
          <w:color w:val="282828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>①废水公布为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pH、悬浮物、COD、BOD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vertAlign w:val="subscript"/>
        </w:rPr>
        <w:t>5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、氨氮、石油类</w:t>
      </w:r>
      <w:r>
        <w:rPr>
          <w:rFonts w:hint="eastAsia" w:ascii="仿宋_GB2312" w:hAnsi="Tahoma" w:eastAsia="仿宋_GB2312" w:cs="Tahoma"/>
          <w:color w:val="282828"/>
          <w:kern w:val="0"/>
          <w:sz w:val="32"/>
          <w:szCs w:val="32"/>
        </w:rPr>
        <w:t xml:space="preserve">监测结果。 </w:t>
      </w:r>
    </w:p>
    <w:p>
      <w:pPr>
        <w:widowControl/>
        <w:spacing w:line="440" w:lineRule="atLeast"/>
        <w:ind w:firstLine="640" w:firstLineChars="200"/>
        <w:jc w:val="left"/>
        <w:rPr>
          <w:rFonts w:ascii="仿宋_GB2312" w:hAnsi="宋体" w:eastAsia="仿宋_GB2312" w:cs="宋体"/>
          <w:color w:val="28282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②噪声公布监测点位为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</w:rPr>
        <w:t>个厂界噪声监测点，监测项目为昼间、夜间 Leq(A)。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B89"/>
    <w:rsid w:val="000044D8"/>
    <w:rsid w:val="00011A98"/>
    <w:rsid w:val="00021502"/>
    <w:rsid w:val="00034372"/>
    <w:rsid w:val="00043618"/>
    <w:rsid w:val="000475D7"/>
    <w:rsid w:val="0006119B"/>
    <w:rsid w:val="00074B97"/>
    <w:rsid w:val="000B3102"/>
    <w:rsid w:val="000D64D8"/>
    <w:rsid w:val="000F6F92"/>
    <w:rsid w:val="00111F83"/>
    <w:rsid w:val="00122DEB"/>
    <w:rsid w:val="001241C1"/>
    <w:rsid w:val="00127D89"/>
    <w:rsid w:val="00133B89"/>
    <w:rsid w:val="00134CDE"/>
    <w:rsid w:val="00155A2B"/>
    <w:rsid w:val="001B54C5"/>
    <w:rsid w:val="001D13A3"/>
    <w:rsid w:val="001E17CA"/>
    <w:rsid w:val="00251E04"/>
    <w:rsid w:val="00285F91"/>
    <w:rsid w:val="002D32BB"/>
    <w:rsid w:val="00320B8E"/>
    <w:rsid w:val="0032636E"/>
    <w:rsid w:val="00333E52"/>
    <w:rsid w:val="00335579"/>
    <w:rsid w:val="003476EA"/>
    <w:rsid w:val="00354EB8"/>
    <w:rsid w:val="00382193"/>
    <w:rsid w:val="003B463E"/>
    <w:rsid w:val="003B6267"/>
    <w:rsid w:val="003F6226"/>
    <w:rsid w:val="0042039C"/>
    <w:rsid w:val="004279D3"/>
    <w:rsid w:val="00427F37"/>
    <w:rsid w:val="00444D91"/>
    <w:rsid w:val="00455E9F"/>
    <w:rsid w:val="004A2DE7"/>
    <w:rsid w:val="004C1909"/>
    <w:rsid w:val="004D3BA5"/>
    <w:rsid w:val="00507857"/>
    <w:rsid w:val="00512C5F"/>
    <w:rsid w:val="00531011"/>
    <w:rsid w:val="00534563"/>
    <w:rsid w:val="0053653F"/>
    <w:rsid w:val="005542DA"/>
    <w:rsid w:val="00563E75"/>
    <w:rsid w:val="005A143E"/>
    <w:rsid w:val="005C0B10"/>
    <w:rsid w:val="005E5A82"/>
    <w:rsid w:val="005E7372"/>
    <w:rsid w:val="006219F8"/>
    <w:rsid w:val="006524BE"/>
    <w:rsid w:val="0066761E"/>
    <w:rsid w:val="00674615"/>
    <w:rsid w:val="00683A04"/>
    <w:rsid w:val="006905F7"/>
    <w:rsid w:val="006A56CC"/>
    <w:rsid w:val="006A6758"/>
    <w:rsid w:val="006A75B2"/>
    <w:rsid w:val="006D2BCE"/>
    <w:rsid w:val="006E34C0"/>
    <w:rsid w:val="00730933"/>
    <w:rsid w:val="0073361A"/>
    <w:rsid w:val="00770A9F"/>
    <w:rsid w:val="007815EC"/>
    <w:rsid w:val="0079010A"/>
    <w:rsid w:val="007A2238"/>
    <w:rsid w:val="007B1FC5"/>
    <w:rsid w:val="007C128D"/>
    <w:rsid w:val="007D09F7"/>
    <w:rsid w:val="00822C2B"/>
    <w:rsid w:val="00823C8A"/>
    <w:rsid w:val="00830F62"/>
    <w:rsid w:val="00833DC3"/>
    <w:rsid w:val="0088057B"/>
    <w:rsid w:val="00881958"/>
    <w:rsid w:val="0088511E"/>
    <w:rsid w:val="008B5492"/>
    <w:rsid w:val="008C553C"/>
    <w:rsid w:val="00910A52"/>
    <w:rsid w:val="00915042"/>
    <w:rsid w:val="009770F8"/>
    <w:rsid w:val="00982FF3"/>
    <w:rsid w:val="0099012A"/>
    <w:rsid w:val="009B6AD7"/>
    <w:rsid w:val="009F14A9"/>
    <w:rsid w:val="009F17E2"/>
    <w:rsid w:val="009F7640"/>
    <w:rsid w:val="00A22C66"/>
    <w:rsid w:val="00A304B2"/>
    <w:rsid w:val="00A82023"/>
    <w:rsid w:val="00AC1F5E"/>
    <w:rsid w:val="00AD698B"/>
    <w:rsid w:val="00AF3FAE"/>
    <w:rsid w:val="00B005F6"/>
    <w:rsid w:val="00B76384"/>
    <w:rsid w:val="00B957B6"/>
    <w:rsid w:val="00BA27AD"/>
    <w:rsid w:val="00BA352C"/>
    <w:rsid w:val="00BB1213"/>
    <w:rsid w:val="00BD42B1"/>
    <w:rsid w:val="00C06DA7"/>
    <w:rsid w:val="00C1270F"/>
    <w:rsid w:val="00C66060"/>
    <w:rsid w:val="00C76363"/>
    <w:rsid w:val="00C82107"/>
    <w:rsid w:val="00CB32A7"/>
    <w:rsid w:val="00CD1582"/>
    <w:rsid w:val="00CE32A2"/>
    <w:rsid w:val="00CE457D"/>
    <w:rsid w:val="00D03D92"/>
    <w:rsid w:val="00D170BB"/>
    <w:rsid w:val="00D724D9"/>
    <w:rsid w:val="00D8306E"/>
    <w:rsid w:val="00D85FD7"/>
    <w:rsid w:val="00D96672"/>
    <w:rsid w:val="00DE61DF"/>
    <w:rsid w:val="00E56F46"/>
    <w:rsid w:val="00E646CB"/>
    <w:rsid w:val="00E85A45"/>
    <w:rsid w:val="00F00A4F"/>
    <w:rsid w:val="00F474D5"/>
    <w:rsid w:val="00F6627D"/>
    <w:rsid w:val="00FF5E01"/>
    <w:rsid w:val="0776269F"/>
    <w:rsid w:val="09CF2041"/>
    <w:rsid w:val="118920AC"/>
    <w:rsid w:val="13F8682E"/>
    <w:rsid w:val="1852026F"/>
    <w:rsid w:val="1857035E"/>
    <w:rsid w:val="1DD60FE6"/>
    <w:rsid w:val="1E831281"/>
    <w:rsid w:val="1F0E113B"/>
    <w:rsid w:val="25832A77"/>
    <w:rsid w:val="2D5D0A13"/>
    <w:rsid w:val="2D89186A"/>
    <w:rsid w:val="2E4D39EB"/>
    <w:rsid w:val="2F600D9B"/>
    <w:rsid w:val="31136D1A"/>
    <w:rsid w:val="3ABF6C51"/>
    <w:rsid w:val="40635B06"/>
    <w:rsid w:val="41136E2E"/>
    <w:rsid w:val="435B014A"/>
    <w:rsid w:val="43803D93"/>
    <w:rsid w:val="4D2E00D9"/>
    <w:rsid w:val="4E1648FD"/>
    <w:rsid w:val="51633919"/>
    <w:rsid w:val="54AC5034"/>
    <w:rsid w:val="55A93754"/>
    <w:rsid w:val="55FB0774"/>
    <w:rsid w:val="5AA81CA4"/>
    <w:rsid w:val="60371348"/>
    <w:rsid w:val="62743A78"/>
    <w:rsid w:val="628D4FF1"/>
    <w:rsid w:val="693F1D10"/>
    <w:rsid w:val="709748C4"/>
    <w:rsid w:val="7DE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paragraph" w:customStyle="1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399</Words>
  <Characters>2277</Characters>
  <Lines>18</Lines>
  <Paragraphs>5</Paragraphs>
  <TotalTime>1</TotalTime>
  <ScaleCrop>false</ScaleCrop>
  <LinksUpToDate>false</LinksUpToDate>
  <CharactersWithSpaces>2671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2015-01-22T03:52:00Z</dcterms:created>
  <dc:creator>Sealin</dc:creator>
  <cp:lastModifiedBy>Y</cp:lastModifiedBy>
  <dcterms:modified xsi:type="dcterms:W3CDTF">2020-09-14T08:25:44Z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