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 w:eastAsiaTheme="minorEastAsia"/>
          <w:lang w:eastAsia="zh-CN"/>
        </w:rPr>
        <w:object>
          <v:shape id="_x0000_i1027" o:spt="75" type="#_x0000_t75" style="height:701.5pt;width:415.1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Office12.wps.Document.8" ShapeID="_x0000_i1027" DrawAspect="Content" ObjectID="_1468075725" r:id="rId4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一、企业基本情：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 xml:space="preserve">      延寿县城镇污水处理厂按照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万吨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/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日处理能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eastAsia="zh-CN"/>
        </w:rPr>
        <w:t>设计，占地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1.5万平方米2010年4月份开始建设，2013年4月施工完成并开始申请试生产，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</w:rPr>
        <w:t>在基本建设中遵循“基本建设三同时”的原则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2014年4月通过环保验收，开始正常运行。</w:t>
      </w:r>
    </w:p>
    <w:p>
      <w:pPr>
        <w:numPr>
          <w:ilvl w:val="0"/>
          <w:numId w:val="0"/>
        </w:numPr>
        <w:ind w:firstLine="900" w:firstLineChars="3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延寿县金海企业管理有限公司2018年5月份通过招标方式对延寿县城镇污水处理厂进行运营。</w:t>
      </w: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金海企业管理有限公司注册地址延寿县延寿镇奋斗街20委18号，法定代表人陆忠林，生产地址延寿县延寿镇奋斗街20委18号，联系人许成鑫，联系电话13263661606，主要产品为延寿县城镇污水的处理，生产规模一万吨/天。</w:t>
      </w:r>
    </w:p>
    <w:p>
      <w:pPr>
        <w:numPr>
          <w:ilvl w:val="0"/>
          <w:numId w:val="1"/>
        </w:numPr>
        <w:ind w:firstLine="602" w:firstLineChars="2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排污信息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延寿县城镇污水处理厂所处理的污水基本是延寿县内生活污水，主要污染物有COD、氨氮、总磷、总氮。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总排放口有一个，排放口位于污水处理厂厂区内消毒间出口处。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第三季度处理水量131.42万立方米，用电量32.7562万度，含水率约77.3%的湿污泥产生量425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吨。三季度出水完全达标。三季度排放COD41791.56千克，氨氮617.7千克，总磷262.84千克，总氮10750.1千克</w:t>
      </w: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1752" w:firstLineChars="584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三季度进出水浓度表（单位：mg/l）</w:t>
      </w:r>
    </w:p>
    <w:tbl>
      <w:tblPr>
        <w:tblStyle w:val="2"/>
        <w:tblW w:w="84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7"/>
        <w:gridCol w:w="641"/>
        <w:gridCol w:w="594"/>
        <w:gridCol w:w="602"/>
        <w:gridCol w:w="691"/>
        <w:gridCol w:w="751"/>
        <w:gridCol w:w="656"/>
        <w:gridCol w:w="656"/>
        <w:gridCol w:w="655"/>
        <w:gridCol w:w="656"/>
        <w:gridCol w:w="656"/>
        <w:gridCol w:w="655"/>
        <w:gridCol w:w="6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8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COD进水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COD出水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BOD进水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BOD出水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SS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氨氮</w:t>
            </w: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氨氮</w:t>
            </w: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TN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TN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进水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出水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2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七月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243.9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33.4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95.9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14.2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7.3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27.7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0.63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49.3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7.44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5.4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2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八月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204.1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33.3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91.2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17.7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7.9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22.8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0.42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42.6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8.87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3.74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atLeast"/>
        </w:trPr>
        <w:tc>
          <w:tcPr>
            <w:tcW w:w="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 Unicode MS" w:hAnsi="Arial Unicode MS" w:eastAsia="Arial Unicode MS" w:cs="Arial Unicode MS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九月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221.8</w:t>
            </w:r>
          </w:p>
        </w:tc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28.8</w:t>
            </w:r>
          </w:p>
        </w:tc>
        <w:tc>
          <w:tcPr>
            <w:tcW w:w="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82.2</w:t>
            </w:r>
          </w:p>
        </w:tc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10.3</w:t>
            </w:r>
          </w:p>
        </w:tc>
        <w:tc>
          <w:tcPr>
            <w:tcW w:w="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90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9.7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24.4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0.36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35.2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8.23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2.94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Arial Unicode MS" w:hAnsi="Arial Unicode MS" w:eastAsia="宋体" w:cs="Arial Unicode MS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0.17</w:t>
            </w:r>
          </w:p>
        </w:tc>
      </w:tr>
    </w:tbl>
    <w:p>
      <w:pPr>
        <w:numPr>
          <w:ilvl w:val="0"/>
          <w:numId w:val="0"/>
        </w:numPr>
        <w:ind w:firstLine="600"/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</w:pPr>
    </w:p>
    <w:p>
      <w:pPr>
        <w:ind w:firstLine="600" w:firstLineChars="200"/>
        <w:rPr>
          <w:rFonts w:hint="eastAsia" w:cs="宋体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565656"/>
          <w:spacing w:val="0"/>
          <w:sz w:val="30"/>
          <w:szCs w:val="30"/>
          <w:u w:val="none"/>
          <w:shd w:val="clear" w:fill="FFFFFF"/>
          <w:lang w:val="en-US" w:eastAsia="zh-CN"/>
        </w:rPr>
        <w:t>延寿县城镇污水处理厂出水执行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/>
        </w:rPr>
        <w:t>GB18918-2002一级B 标准核定</w:t>
      </w:r>
      <w:r>
        <w:rPr>
          <w:sz w:val="30"/>
          <w:szCs w:val="30"/>
        </w:rPr>
        <w:t>cod</w:t>
      </w:r>
      <w:r>
        <w:rPr>
          <w:rFonts w:hint="eastAsia" w:cs="宋体"/>
          <w:sz w:val="30"/>
          <w:szCs w:val="30"/>
        </w:rPr>
        <w:t>排放量</w:t>
      </w:r>
      <w:r>
        <w:rPr>
          <w:sz w:val="30"/>
          <w:szCs w:val="30"/>
        </w:rPr>
        <w:t>219t/a</w:t>
      </w:r>
      <w:r>
        <w:rPr>
          <w:rFonts w:hint="eastAsia" w:cs="宋体"/>
          <w:sz w:val="30"/>
          <w:szCs w:val="30"/>
        </w:rPr>
        <w:t>，氨氮排放量</w:t>
      </w:r>
      <w:r>
        <w:rPr>
          <w:sz w:val="30"/>
          <w:szCs w:val="30"/>
        </w:rPr>
        <w:t>29.2t/a</w:t>
      </w:r>
      <w:r>
        <w:rPr>
          <w:rFonts w:hint="eastAsia" w:cs="宋体"/>
          <w:sz w:val="30"/>
          <w:szCs w:val="30"/>
        </w:rPr>
        <w:t>。</w:t>
      </w:r>
    </w:p>
    <w:p>
      <w:pPr>
        <w:numPr>
          <w:ilvl w:val="0"/>
          <w:numId w:val="1"/>
        </w:numPr>
        <w:ind w:left="0" w:leftChars="0" w:firstLine="600" w:firstLineChars="200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</w:rPr>
        <w:t>污染防治设施</w:t>
      </w: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延寿县城镇污水处理厂采样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/>
        </w:rPr>
        <w:t>Cass工艺，主要污染物防治设施</w:t>
      </w:r>
      <w:r>
        <w:rPr>
          <w:rFonts w:hint="eastAsia" w:cs="宋体"/>
          <w:sz w:val="30"/>
          <w:szCs w:val="30"/>
          <w:lang w:eastAsia="zh-CN"/>
        </w:rPr>
        <w:t>有</w:t>
      </w:r>
      <w:r>
        <w:rPr>
          <w:rFonts w:hint="eastAsia" w:cs="宋体"/>
          <w:sz w:val="30"/>
          <w:szCs w:val="30"/>
        </w:rPr>
        <w:t>泵站一座，粗格栅机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台，细格栅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台，旋流沉砂池一座，平流沉淀池</w:t>
      </w:r>
      <w:r>
        <w:rPr>
          <w:sz w:val="30"/>
          <w:szCs w:val="30"/>
        </w:rPr>
        <w:t>4</w:t>
      </w:r>
      <w:r>
        <w:rPr>
          <w:rFonts w:hint="eastAsia" w:cs="宋体"/>
          <w:sz w:val="30"/>
          <w:szCs w:val="30"/>
        </w:rPr>
        <w:t>座，</w:t>
      </w:r>
      <w:r>
        <w:rPr>
          <w:sz w:val="30"/>
          <w:szCs w:val="30"/>
        </w:rPr>
        <w:t>CASS</w:t>
      </w:r>
      <w:r>
        <w:rPr>
          <w:rFonts w:hint="eastAsia" w:cs="宋体"/>
          <w:sz w:val="30"/>
          <w:szCs w:val="30"/>
        </w:rPr>
        <w:t>池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座，鼓风机房及配电间一座，消毒间一座，化验室及办公室一座，在线及中控设施一套</w:t>
      </w:r>
      <w:r>
        <w:rPr>
          <w:rFonts w:hint="eastAsia" w:cs="宋体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cs="宋体"/>
          <w:sz w:val="30"/>
          <w:szCs w:val="30"/>
          <w:lang w:eastAsia="zh-CN"/>
        </w:rPr>
      </w:pPr>
    </w:p>
    <w:p>
      <w:pPr>
        <w:numPr>
          <w:ilvl w:val="0"/>
          <w:numId w:val="0"/>
        </w:numPr>
        <w:ind w:leftChars="200" w:firstLine="900" w:firstLineChars="300"/>
        <w:rPr>
          <w:rFonts w:hint="eastAsia" w:ascii="宋体" w:hAnsi="宋体" w:eastAsia="宋体" w:cs="宋体"/>
          <w:kern w:val="0"/>
          <w:sz w:val="30"/>
          <w:szCs w:val="30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四、</w:t>
      </w:r>
      <w:r>
        <w:rPr>
          <w:rFonts w:hint="eastAsia" w:ascii="宋体" w:hAnsi="宋体" w:eastAsia="宋体" w:cs="宋体"/>
          <w:kern w:val="0"/>
          <w:sz w:val="30"/>
          <w:szCs w:val="30"/>
        </w:rPr>
        <w:t>建设项目环境影响评价及其他环境保护行政许可情况</w:t>
      </w:r>
    </w:p>
    <w:p>
      <w:pPr>
        <w:numPr>
          <w:ilvl w:val="0"/>
          <w:numId w:val="2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环保验收材料</w:t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在线监测验收材料</w:t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三同时验收登记表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532755" cy="7378065"/>
            <wp:effectExtent l="0" t="0" r="14605" b="13335"/>
            <wp:docPr id="7" name="图片 7" descr="63860975c1b2b4285b567e9deed9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860975c1b2b4285b567e9deed9e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2755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试生产批复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8" name="图片 8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t>环评批复文件</w:t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83200" cy="8199755"/>
            <wp:effectExtent l="0" t="0" r="5080" b="14605"/>
            <wp:docPr id="9" name="图片 9" descr="环评批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环评批复"/>
                    <pic:cNvPicPr>
                      <a:picLocks noChangeAspect="1"/>
                    </pic:cNvPicPr>
                  </pic:nvPicPr>
                  <pic:blipFill>
                    <a:blip r:embed="rId14"/>
                    <a:srcRect t="3142" r="13424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  <w:r>
        <w:rPr>
          <w:rFonts w:hint="eastAsia" w:cs="宋体"/>
          <w:sz w:val="30"/>
          <w:szCs w:val="30"/>
          <w:lang w:val="en-US" w:eastAsia="zh-CN"/>
        </w:rPr>
        <w:drawing>
          <wp:inline distT="0" distB="0" distL="114300" distR="114300">
            <wp:extent cx="5274310" cy="7316470"/>
            <wp:effectExtent l="0" t="0" r="13970" b="13970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cs="宋体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五、</w:t>
      </w:r>
      <w:r>
        <w:rPr>
          <w:rFonts w:hint="eastAsia" w:ascii="宋体" w:hAnsi="宋体" w:eastAsia="宋体" w:cs="宋体"/>
          <w:kern w:val="0"/>
          <w:sz w:val="30"/>
          <w:szCs w:val="30"/>
        </w:rPr>
        <w:t>突发环境事件应急预案</w:t>
      </w: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kern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延寿县城镇污水处理厂根据本厂的实际情况编制了环境应急预案，包括了</w:t>
      </w:r>
    </w:p>
    <w:p>
      <w:pPr>
        <w:numPr>
          <w:ilvl w:val="0"/>
          <w:numId w:val="3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防汛防台应急预案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2、化验室危险品泄漏应急预案</w:t>
      </w:r>
    </w:p>
    <w:p>
      <w:pPr>
        <w:numPr>
          <w:ilvl w:val="0"/>
          <w:numId w:val="3"/>
        </w:numPr>
        <w:spacing w:line="480" w:lineRule="auto"/>
        <w:ind w:left="0" w:leftChars="0" w:firstLine="0" w:firstLine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火灾应急预案</w:t>
      </w:r>
    </w:p>
    <w:p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4、水质处理异常应急预案</w:t>
      </w:r>
    </w:p>
    <w:p>
      <w:pPr>
        <w:numPr>
          <w:ilvl w:val="0"/>
          <w:numId w:val="4"/>
        </w:numPr>
        <w:spacing w:line="480" w:lineRule="auto"/>
        <w:jc w:val="left"/>
        <w:rPr>
          <w:rFonts w:hint="eastAsia" w:ascii="宋体" w:hAnsi="宋体"/>
          <w:b w:val="0"/>
          <w:bCs w:val="0"/>
          <w:kern w:val="0"/>
          <w:sz w:val="30"/>
          <w:szCs w:val="30"/>
        </w:rPr>
      </w:pPr>
      <w:r>
        <w:rPr>
          <w:rFonts w:hint="eastAsia" w:ascii="宋体" w:hAnsi="宋体"/>
          <w:b w:val="0"/>
          <w:bCs w:val="0"/>
          <w:kern w:val="0"/>
          <w:sz w:val="30"/>
          <w:szCs w:val="30"/>
        </w:rPr>
        <w:t>停电事故处理应急预案</w:t>
      </w:r>
    </w:p>
    <w:p>
      <w:pPr>
        <w:numPr>
          <w:ilvl w:val="0"/>
          <w:numId w:val="0"/>
        </w:numPr>
        <w:spacing w:line="480" w:lineRule="auto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6、有毒气体中毒事故应急预案</w:t>
      </w:r>
    </w:p>
    <w:p>
      <w:pPr>
        <w:numPr>
          <w:ilvl w:val="0"/>
          <w:numId w:val="4"/>
        </w:numPr>
        <w:spacing w:line="480" w:lineRule="auto"/>
        <w:ind w:left="0" w:leftChars="0" w:firstLine="0" w:firstLineChars="0"/>
        <w:jc w:val="left"/>
        <w:rPr>
          <w:rFonts w:hint="eastAsia" w:ascii="宋体" w:hAnsi="宋体"/>
          <w:b w:val="0"/>
          <w:bCs w:val="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>出水超标应急预案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eastAsia="zh-CN"/>
        </w:rPr>
        <w:t>六、</w:t>
      </w:r>
      <w:r>
        <w:rPr>
          <w:rFonts w:hint="eastAsia" w:ascii="宋体" w:hAnsi="宋体" w:eastAsia="宋体" w:cs="宋体"/>
          <w:kern w:val="0"/>
          <w:sz w:val="30"/>
          <w:szCs w:val="30"/>
        </w:rPr>
        <w:t>其他应该公开的环境信息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ascii="仿宋" w:hAnsi="仿宋" w:eastAsia="仿宋"/>
          <w:kern w:val="0"/>
          <w:sz w:val="30"/>
          <w:szCs w:val="30"/>
          <w:lang w:val="en-US" w:eastAsia="zh-CN"/>
        </w:rPr>
      </w:pPr>
      <w:r>
        <w:rPr>
          <w:rFonts w:ascii="仿宋" w:hAnsi="仿宋" w:eastAsia="仿宋"/>
          <w:kern w:val="0"/>
          <w:sz w:val="30"/>
          <w:szCs w:val="30"/>
        </w:rPr>
        <w:t>本单位的资料索取点</w:t>
      </w:r>
      <w:r>
        <w:rPr>
          <w:rFonts w:hint="eastAsia" w:ascii="仿宋" w:hAnsi="仿宋" w:eastAsia="仿宋"/>
          <w:kern w:val="0"/>
          <w:sz w:val="30"/>
          <w:szCs w:val="30"/>
          <w:lang w:eastAsia="zh-CN"/>
        </w:rPr>
        <w:t>在延寿县南大桥污水处理厂，联系人许成鑫，联系电话</w:t>
      </w:r>
      <w:r>
        <w:rPr>
          <w:rFonts w:hint="eastAsia" w:ascii="仿宋" w:hAnsi="仿宋" w:eastAsia="仿宋"/>
          <w:kern w:val="0"/>
          <w:sz w:val="30"/>
          <w:szCs w:val="30"/>
          <w:lang w:val="en-US" w:eastAsia="zh-CN"/>
        </w:rPr>
        <w:t>13263661606。监督热线电话：13796797326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eastAsia="宋体" w:cs="宋体"/>
          <w:kern w:val="0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</w:rPr>
        <w:t>环境自行监测方案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宋体" w:hAnsi="宋体" w:cs="宋体" w:eastAsiaTheme="minorEastAsia"/>
          <w:kern w:val="0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延寿县城镇污水处理厂的自行监测方案在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HYPERLINK "http://1.189.191.146:8000/eMonPubHLJ/Default.aspx" </w:instrText>
      </w:r>
      <w:r>
        <w:rPr>
          <w:sz w:val="30"/>
          <w:szCs w:val="30"/>
        </w:rPr>
        <w:fldChar w:fldCharType="separate"/>
      </w:r>
      <w:r>
        <w:rPr>
          <w:rStyle w:val="4"/>
          <w:rFonts w:hint="eastAsia" w:ascii="仿宋_GB2312" w:hAnsi="ˎ̥" w:eastAsia="仿宋_GB2312" w:cs="宋体"/>
          <w:kern w:val="0"/>
          <w:sz w:val="30"/>
          <w:szCs w:val="30"/>
        </w:rPr>
        <w:t>http://1.189.191.146:8000/eMonPubHLJ/Default.aspx</w:t>
      </w:r>
      <w:r>
        <w:rPr>
          <w:rStyle w:val="4"/>
          <w:rFonts w:hint="eastAsia" w:ascii="仿宋_GB2312" w:hAnsi="ˎ̥" w:eastAsia="仿宋_GB2312" w:cs="宋体"/>
          <w:kern w:val="0"/>
          <w:sz w:val="30"/>
          <w:szCs w:val="30"/>
        </w:rPr>
        <w:fldChar w:fldCharType="end"/>
      </w:r>
      <w:r>
        <w:rPr>
          <w:rFonts w:hint="eastAsia"/>
          <w:sz w:val="30"/>
          <w:szCs w:val="30"/>
        </w:rPr>
        <w:t>公开</w:t>
      </w:r>
      <w:r>
        <w:rPr>
          <w:rFonts w:hint="eastAsia"/>
          <w:sz w:val="30"/>
          <w:szCs w:val="30"/>
          <w:lang w:eastAsia="zh-CN"/>
        </w:rPr>
        <w:t>，并按照该方案进行监测</w:t>
      </w:r>
    </w:p>
    <w:p>
      <w:pPr>
        <w:numPr>
          <w:ilvl w:val="0"/>
          <w:numId w:val="0"/>
        </w:numPr>
        <w:ind w:leftChars="0"/>
        <w:rPr>
          <w:rFonts w:hint="eastAsia" w:cs="宋体"/>
          <w:b w:val="0"/>
          <w:bCs w:val="0"/>
          <w:sz w:val="30"/>
          <w:szCs w:val="30"/>
          <w:lang w:val="en-US" w:eastAsia="zh-CN"/>
        </w:rPr>
      </w:pPr>
    </w:p>
    <w:p/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812C31"/>
    <w:multiLevelType w:val="singleLevel"/>
    <w:tmpl w:val="82812C3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B08DB91"/>
    <w:multiLevelType w:val="singleLevel"/>
    <w:tmpl w:val="9B08DB9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9EAE9E9B"/>
    <w:multiLevelType w:val="singleLevel"/>
    <w:tmpl w:val="9EAE9E9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0C2B8E3"/>
    <w:multiLevelType w:val="singleLevel"/>
    <w:tmpl w:val="40C2B8E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950008"/>
    <w:rsid w:val="3CF02DD0"/>
    <w:rsid w:val="7D0B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2020-10-15T02:00:43Z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