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71" w:rsidRDefault="007E7E71">
      <w:pPr>
        <w:jc w:val="center"/>
        <w:rPr>
          <w:rFonts w:ascii="仿宋_GB2312" w:eastAsia="仿宋_GB2312" w:hAnsi="宋体"/>
          <w:b/>
          <w:bCs/>
          <w:sz w:val="52"/>
          <w:szCs w:val="52"/>
        </w:rPr>
      </w:pPr>
    </w:p>
    <w:p w:rsidR="007E7E71" w:rsidRDefault="007E7E71">
      <w:pPr>
        <w:jc w:val="center"/>
        <w:rPr>
          <w:rFonts w:ascii="仿宋_GB2312" w:eastAsia="仿宋_GB2312"/>
          <w:b/>
          <w:sz w:val="52"/>
          <w:szCs w:val="52"/>
        </w:rPr>
      </w:pPr>
      <w:r>
        <w:rPr>
          <w:rFonts w:ascii="仿宋_GB2312" w:eastAsia="仿宋_GB2312" w:hAnsi="宋体" w:hint="eastAsia"/>
          <w:b/>
          <w:bCs/>
          <w:sz w:val="52"/>
          <w:szCs w:val="52"/>
        </w:rPr>
        <w:t>国家重点监控企业自行监测方案</w:t>
      </w:r>
    </w:p>
    <w:p w:rsidR="007E7E71" w:rsidRDefault="007E7E71">
      <w:pPr>
        <w:rPr>
          <w:rFonts w:ascii="仿宋_GB2312" w:eastAsia="仿宋_GB2312"/>
          <w:sz w:val="72"/>
          <w:szCs w:val="72"/>
        </w:rPr>
      </w:pPr>
    </w:p>
    <w:p w:rsidR="007E7E71" w:rsidRDefault="007E7E71">
      <w:pPr>
        <w:rPr>
          <w:rFonts w:ascii="仿宋_GB2312" w:eastAsia="仿宋_GB2312"/>
          <w:sz w:val="44"/>
          <w:szCs w:val="44"/>
        </w:rPr>
      </w:pPr>
    </w:p>
    <w:p w:rsidR="007E7E71" w:rsidRDefault="007E7E71">
      <w:pPr>
        <w:rPr>
          <w:rFonts w:ascii="仿宋_GB2312" w:eastAsia="仿宋_GB2312"/>
          <w:sz w:val="44"/>
          <w:szCs w:val="44"/>
        </w:rPr>
      </w:pPr>
    </w:p>
    <w:p w:rsidR="007E7E71" w:rsidRDefault="007E7E71">
      <w:pPr>
        <w:rPr>
          <w:rFonts w:ascii="仿宋_GB2312" w:eastAsia="仿宋_GB2312"/>
          <w:sz w:val="44"/>
          <w:szCs w:val="44"/>
        </w:rPr>
      </w:pPr>
    </w:p>
    <w:p w:rsidR="007E7E71" w:rsidRDefault="007E7E71">
      <w:pPr>
        <w:rPr>
          <w:rFonts w:ascii="仿宋_GB2312" w:eastAsia="仿宋_GB2312"/>
          <w:sz w:val="44"/>
          <w:szCs w:val="44"/>
        </w:rPr>
      </w:pPr>
    </w:p>
    <w:p w:rsidR="007E7E71" w:rsidRDefault="007E7E71"/>
    <w:p w:rsidR="007E7E71" w:rsidRDefault="007E7E71"/>
    <w:p w:rsidR="007E7E71" w:rsidRDefault="007E7E71"/>
    <w:p w:rsidR="007E7E71" w:rsidRDefault="007E7E71"/>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9813F5" w:rsidRDefault="009813F5">
      <w:pPr>
        <w:spacing w:line="720" w:lineRule="exact"/>
        <w:jc w:val="center"/>
        <w:rPr>
          <w:rFonts w:ascii="仿宋_GB2312" w:eastAsia="仿宋_GB2312" w:hint="eastAsia"/>
          <w:b/>
          <w:sz w:val="44"/>
          <w:szCs w:val="44"/>
        </w:rPr>
      </w:pPr>
    </w:p>
    <w:p w:rsidR="007E7E71" w:rsidRDefault="007E7E71">
      <w:pPr>
        <w:spacing w:line="720" w:lineRule="exact"/>
        <w:jc w:val="center"/>
        <w:rPr>
          <w:rFonts w:ascii="仿宋_GB2312" w:eastAsia="仿宋_GB2312"/>
          <w:b/>
          <w:sz w:val="44"/>
          <w:szCs w:val="44"/>
        </w:rPr>
      </w:pPr>
      <w:r>
        <w:rPr>
          <w:rFonts w:ascii="仿宋_GB2312" w:eastAsia="仿宋_GB2312" w:hint="eastAsia"/>
          <w:b/>
          <w:sz w:val="44"/>
          <w:szCs w:val="44"/>
        </w:rPr>
        <w:t>黑龙江北大荒马铃薯产业有限公司</w:t>
      </w:r>
    </w:p>
    <w:p w:rsidR="007E7E71" w:rsidRDefault="007E7E71">
      <w:pPr>
        <w:spacing w:line="720" w:lineRule="exact"/>
        <w:jc w:val="center"/>
        <w:rPr>
          <w:rFonts w:ascii="仿宋_GB2312" w:eastAsia="仿宋_GB2312"/>
          <w:b/>
          <w:sz w:val="44"/>
          <w:szCs w:val="44"/>
        </w:rPr>
      </w:pPr>
      <w:r>
        <w:rPr>
          <w:rFonts w:ascii="仿宋_GB2312" w:eastAsia="仿宋_GB2312" w:hint="eastAsia"/>
          <w:b/>
          <w:sz w:val="44"/>
          <w:szCs w:val="44"/>
        </w:rPr>
        <w:t>二</w:t>
      </w:r>
      <w:r>
        <w:rPr>
          <w:rFonts w:ascii="仿宋_GB2312" w:eastAsia="仿宋_GB2312"/>
          <w:b/>
          <w:sz w:val="44"/>
          <w:szCs w:val="44"/>
        </w:rPr>
        <w:t>O</w:t>
      </w:r>
      <w:r>
        <w:rPr>
          <w:rFonts w:ascii="仿宋_GB2312" w:eastAsia="仿宋_GB2312" w:hint="eastAsia"/>
          <w:b/>
          <w:sz w:val="44"/>
          <w:szCs w:val="44"/>
        </w:rPr>
        <w:t>一</w:t>
      </w:r>
      <w:r w:rsidR="009813F5">
        <w:rPr>
          <w:rFonts w:ascii="仿宋_GB2312" w:eastAsia="仿宋_GB2312" w:hint="eastAsia"/>
          <w:b/>
          <w:sz w:val="44"/>
          <w:szCs w:val="44"/>
        </w:rPr>
        <w:t>五</w:t>
      </w:r>
      <w:r>
        <w:rPr>
          <w:rFonts w:ascii="仿宋_GB2312" w:eastAsia="仿宋_GB2312" w:hint="eastAsia"/>
          <w:b/>
          <w:sz w:val="44"/>
          <w:szCs w:val="44"/>
        </w:rPr>
        <w:t>年一月</w:t>
      </w:r>
    </w:p>
    <w:p w:rsidR="007E7E71" w:rsidRDefault="007E7E71">
      <w:pPr>
        <w:rPr>
          <w:b/>
        </w:rPr>
      </w:pPr>
    </w:p>
    <w:p w:rsidR="007E7E71" w:rsidRDefault="007E7E71"/>
    <w:p w:rsidR="007E7E71" w:rsidRDefault="007E7E71"/>
    <w:p w:rsidR="007E7E71" w:rsidRDefault="007E7E71"/>
    <w:p w:rsidR="007E7E71" w:rsidRDefault="007E7E71" w:rsidP="009813F5">
      <w:pPr>
        <w:ind w:firstLineChars="200" w:firstLine="883"/>
        <w:rPr>
          <w:rFonts w:ascii="仿宋_GB2312" w:eastAsia="仿宋_GB2312"/>
          <w:b/>
          <w:sz w:val="44"/>
          <w:szCs w:val="44"/>
        </w:rPr>
      </w:pPr>
      <w:r>
        <w:rPr>
          <w:rFonts w:ascii="仿宋_GB2312" w:eastAsia="仿宋_GB2312" w:hint="eastAsia"/>
          <w:b/>
          <w:sz w:val="44"/>
          <w:szCs w:val="44"/>
        </w:rPr>
        <w:t>黑龙江北大荒马铃薯产业有限公司</w:t>
      </w:r>
    </w:p>
    <w:p w:rsidR="007E7E71" w:rsidRDefault="007E7E71" w:rsidP="009813F5">
      <w:pPr>
        <w:ind w:firstLineChars="592" w:firstLine="2615"/>
        <w:rPr>
          <w:rFonts w:ascii="仿宋_GB2312" w:eastAsia="仿宋_GB2312"/>
          <w:b/>
          <w:sz w:val="44"/>
          <w:szCs w:val="44"/>
        </w:rPr>
      </w:pPr>
      <w:r>
        <w:rPr>
          <w:rFonts w:ascii="仿宋_GB2312" w:eastAsia="仿宋_GB2312" w:hint="eastAsia"/>
          <w:b/>
          <w:sz w:val="44"/>
          <w:szCs w:val="44"/>
        </w:rPr>
        <w:t>自行监测方案</w:t>
      </w:r>
    </w:p>
    <w:p w:rsidR="007E7E71" w:rsidRDefault="007E7E71" w:rsidP="009813F5">
      <w:pPr>
        <w:ind w:firstLineChars="341" w:firstLine="1506"/>
        <w:rPr>
          <w:rFonts w:ascii="仿宋_GB2312" w:eastAsia="仿宋_GB2312"/>
          <w:b/>
          <w:sz w:val="44"/>
          <w:szCs w:val="44"/>
        </w:rPr>
      </w:pPr>
    </w:p>
    <w:p w:rsidR="007E7E71" w:rsidRPr="006E6750" w:rsidRDefault="007E7E71">
      <w:pPr>
        <w:pStyle w:val="10"/>
        <w:ind w:firstLineChars="0" w:firstLine="0"/>
        <w:rPr>
          <w:rFonts w:ascii="仿宋_GB2312" w:eastAsia="仿宋_GB2312"/>
          <w:b/>
          <w:bCs/>
          <w:sz w:val="32"/>
          <w:szCs w:val="32"/>
        </w:rPr>
      </w:pPr>
      <w:r w:rsidRPr="006E6750">
        <w:rPr>
          <w:rFonts w:ascii="仿宋_GB2312" w:eastAsia="仿宋_GB2312" w:hint="eastAsia"/>
          <w:b/>
          <w:bCs/>
          <w:sz w:val="32"/>
          <w:szCs w:val="32"/>
        </w:rPr>
        <w:t>一、企业基本概况</w:t>
      </w:r>
    </w:p>
    <w:p w:rsidR="007E7E71" w:rsidRPr="006E6750" w:rsidRDefault="007E7E71" w:rsidP="009813F5">
      <w:pPr>
        <w:spacing w:line="360" w:lineRule="auto"/>
        <w:ind w:firstLineChars="200" w:firstLine="640"/>
        <w:rPr>
          <w:rFonts w:ascii="仿宋_GB2312" w:eastAsia="仿宋_GB2312"/>
          <w:bCs/>
          <w:sz w:val="28"/>
        </w:rPr>
      </w:pPr>
      <w:r w:rsidRPr="006E6750">
        <w:rPr>
          <w:rFonts w:ascii="仿宋_GB2312" w:eastAsia="仿宋_GB2312" w:hint="eastAsia"/>
          <w:sz w:val="32"/>
          <w:szCs w:val="32"/>
        </w:rPr>
        <w:t>黑龙江北大荒马铃薯产业有限公司坐落在美丽的克山农场，</w:t>
      </w:r>
      <w:r w:rsidRPr="006E6750">
        <w:rPr>
          <w:rFonts w:ascii="仿宋_GB2312" w:eastAsia="仿宋_GB2312" w:hAnsi="宋体" w:hint="eastAsia"/>
          <w:sz w:val="28"/>
          <w:szCs w:val="21"/>
        </w:rPr>
        <w:t>克山历史悠久，人杰地灵，物产丰富，土质肥沃，交通通讯便利。投资环境良好。境内水资源充足，有</w:t>
      </w:r>
      <w:proofErr w:type="gramStart"/>
      <w:r w:rsidRPr="006E6750">
        <w:rPr>
          <w:rFonts w:ascii="仿宋_GB2312" w:eastAsia="仿宋_GB2312" w:hAnsi="宋体" w:hint="eastAsia"/>
          <w:sz w:val="28"/>
          <w:szCs w:val="21"/>
        </w:rPr>
        <w:t>讷谟</w:t>
      </w:r>
      <w:proofErr w:type="gramEnd"/>
      <w:r w:rsidRPr="006E6750">
        <w:rPr>
          <w:rFonts w:ascii="仿宋_GB2312" w:eastAsia="仿宋_GB2312" w:hAnsi="宋体" w:hint="eastAsia"/>
          <w:sz w:val="28"/>
          <w:szCs w:val="21"/>
        </w:rPr>
        <w:t>尔河、乌裕尔河、</w:t>
      </w:r>
      <w:proofErr w:type="gramStart"/>
      <w:r w:rsidRPr="006E6750">
        <w:rPr>
          <w:rFonts w:ascii="仿宋_GB2312" w:eastAsia="仿宋_GB2312" w:hAnsi="宋体" w:hint="eastAsia"/>
          <w:sz w:val="28"/>
          <w:szCs w:val="21"/>
        </w:rPr>
        <w:t>润津河</w:t>
      </w:r>
      <w:proofErr w:type="gramEnd"/>
      <w:r w:rsidRPr="006E6750">
        <w:rPr>
          <w:rFonts w:ascii="仿宋_GB2312" w:eastAsia="仿宋_GB2312" w:hAnsi="宋体" w:hint="eastAsia"/>
          <w:sz w:val="28"/>
          <w:szCs w:val="21"/>
        </w:rPr>
        <w:t>等</w:t>
      </w:r>
      <w:r w:rsidRPr="006E6750">
        <w:rPr>
          <w:rFonts w:ascii="仿宋_GB2312" w:eastAsia="仿宋_GB2312" w:hAnsi="宋体"/>
          <w:sz w:val="28"/>
          <w:szCs w:val="21"/>
        </w:rPr>
        <w:t>5</w:t>
      </w:r>
      <w:r w:rsidRPr="006E6750">
        <w:rPr>
          <w:rFonts w:ascii="仿宋_GB2312" w:eastAsia="仿宋_GB2312" w:hAnsi="宋体" w:hint="eastAsia"/>
          <w:sz w:val="28"/>
          <w:szCs w:val="21"/>
        </w:rPr>
        <w:t>条主要河流。地下蕴藏着丰富的矿产资源，高岭土、石英砂、红粘土</w:t>
      </w:r>
      <w:r w:rsidRPr="006E6750">
        <w:rPr>
          <w:rFonts w:ascii="仿宋_GB2312" w:eastAsia="仿宋_GB2312" w:hAnsi="宋体"/>
          <w:sz w:val="28"/>
          <w:szCs w:val="21"/>
        </w:rPr>
        <w:t>(</w:t>
      </w:r>
      <w:r w:rsidRPr="006E6750">
        <w:rPr>
          <w:rFonts w:ascii="仿宋_GB2312" w:eastAsia="仿宋_GB2312" w:hAnsi="宋体" w:hint="eastAsia"/>
          <w:sz w:val="28"/>
          <w:szCs w:val="21"/>
        </w:rPr>
        <w:t>紫泥</w:t>
      </w:r>
      <w:r w:rsidRPr="006E6750">
        <w:rPr>
          <w:rFonts w:ascii="仿宋_GB2312" w:eastAsia="仿宋_GB2312" w:hAnsi="宋体"/>
          <w:sz w:val="28"/>
          <w:szCs w:val="21"/>
        </w:rPr>
        <w:t>)</w:t>
      </w:r>
      <w:r w:rsidRPr="006E6750">
        <w:rPr>
          <w:rFonts w:ascii="仿宋_GB2312" w:eastAsia="仿宋_GB2312" w:hAnsi="宋体" w:hint="eastAsia"/>
          <w:sz w:val="28"/>
          <w:szCs w:val="21"/>
        </w:rPr>
        <w:t>等矿藏具有很高的开发利用价值。有蘑菇、蕨菜、黄芪等数百种野生食用植物和药用植物。农业得天独厚，是全国重点商品粮基地县、大豆基地县、马铃薯基地县，以盛产两豆</w:t>
      </w:r>
      <w:r w:rsidRPr="006E6750">
        <w:rPr>
          <w:rFonts w:ascii="仿宋_GB2312" w:eastAsia="仿宋_GB2312" w:hAnsi="宋体"/>
          <w:sz w:val="28"/>
          <w:szCs w:val="21"/>
        </w:rPr>
        <w:t>(</w:t>
      </w:r>
      <w:r w:rsidRPr="006E6750">
        <w:rPr>
          <w:rFonts w:ascii="仿宋_GB2312" w:eastAsia="仿宋_GB2312" w:hAnsi="宋体" w:hint="eastAsia"/>
          <w:sz w:val="28"/>
          <w:szCs w:val="21"/>
        </w:rPr>
        <w:t>大豆、土豆</w:t>
      </w:r>
      <w:r w:rsidRPr="006E6750">
        <w:rPr>
          <w:rFonts w:ascii="仿宋_GB2312" w:eastAsia="仿宋_GB2312" w:hAnsi="宋体"/>
          <w:sz w:val="28"/>
          <w:szCs w:val="21"/>
        </w:rPr>
        <w:t>)</w:t>
      </w:r>
      <w:r w:rsidRPr="006E6750">
        <w:rPr>
          <w:rFonts w:ascii="仿宋_GB2312" w:eastAsia="仿宋_GB2312" w:hAnsi="宋体" w:hint="eastAsia"/>
          <w:sz w:val="28"/>
          <w:szCs w:val="21"/>
        </w:rPr>
        <w:t>、</w:t>
      </w:r>
      <w:proofErr w:type="gramStart"/>
      <w:r w:rsidRPr="006E6750">
        <w:rPr>
          <w:rFonts w:ascii="仿宋_GB2312" w:eastAsia="仿宋_GB2312" w:hAnsi="宋体" w:hint="eastAsia"/>
          <w:sz w:val="28"/>
          <w:szCs w:val="21"/>
        </w:rPr>
        <w:t>一</w:t>
      </w:r>
      <w:proofErr w:type="gramEnd"/>
      <w:r w:rsidRPr="006E6750">
        <w:rPr>
          <w:rFonts w:ascii="仿宋_GB2312" w:eastAsia="仿宋_GB2312" w:hAnsi="宋体" w:hint="eastAsia"/>
          <w:sz w:val="28"/>
          <w:szCs w:val="21"/>
        </w:rPr>
        <w:t>麦（小麦）、亚麻、甜菜闻名遐迩，被誉为</w:t>
      </w:r>
      <w:r w:rsidRPr="006E6750">
        <w:rPr>
          <w:rFonts w:ascii="仿宋_GB2312" w:eastAsia="仿宋_GB2312" w:hint="eastAsia"/>
          <w:sz w:val="28"/>
          <w:szCs w:val="21"/>
        </w:rPr>
        <w:t>“</w:t>
      </w:r>
      <w:r w:rsidRPr="006E6750">
        <w:rPr>
          <w:rFonts w:ascii="仿宋_GB2312" w:eastAsia="仿宋_GB2312" w:hAnsi="宋体" w:hint="eastAsia"/>
          <w:sz w:val="28"/>
          <w:szCs w:val="21"/>
        </w:rPr>
        <w:t>北国粮仓</w:t>
      </w:r>
      <w:r w:rsidRPr="006E6750">
        <w:rPr>
          <w:rFonts w:ascii="仿宋_GB2312" w:eastAsia="仿宋_GB2312" w:hint="eastAsia"/>
          <w:sz w:val="28"/>
          <w:szCs w:val="21"/>
        </w:rPr>
        <w:t>”</w:t>
      </w:r>
      <w:r w:rsidRPr="006E6750">
        <w:rPr>
          <w:rFonts w:ascii="仿宋_GB2312" w:eastAsia="仿宋_GB2312" w:hAnsi="宋体" w:hint="eastAsia"/>
          <w:sz w:val="28"/>
          <w:szCs w:val="21"/>
        </w:rPr>
        <w:t>。</w:t>
      </w:r>
    </w:p>
    <w:p w:rsidR="007E7E71" w:rsidRPr="006E6750" w:rsidRDefault="007E7E71" w:rsidP="009813F5">
      <w:pPr>
        <w:spacing w:line="360" w:lineRule="auto"/>
        <w:ind w:firstLineChars="200" w:firstLine="560"/>
        <w:rPr>
          <w:rFonts w:ascii="仿宋_GB2312" w:eastAsia="仿宋_GB2312"/>
          <w:sz w:val="28"/>
          <w:szCs w:val="18"/>
        </w:rPr>
      </w:pPr>
      <w:r w:rsidRPr="006E6750">
        <w:rPr>
          <w:rFonts w:ascii="仿宋_GB2312" w:eastAsia="仿宋_GB2312" w:hAnsi="宋体" w:hint="eastAsia"/>
          <w:sz w:val="28"/>
          <w:szCs w:val="18"/>
        </w:rPr>
        <w:t>黑龙江北大荒马铃薯产业有限公司隶属于中国</w:t>
      </w:r>
      <w:r w:rsidRPr="006E6750">
        <w:rPr>
          <w:rFonts w:ascii="仿宋_GB2312" w:eastAsia="仿宋_GB2312" w:hAnsi="宋体"/>
          <w:sz w:val="28"/>
          <w:szCs w:val="18"/>
        </w:rPr>
        <w:t>500</w:t>
      </w:r>
      <w:r w:rsidRPr="006E6750">
        <w:rPr>
          <w:rFonts w:ascii="仿宋_GB2312" w:eastAsia="仿宋_GB2312" w:hAnsi="宋体" w:hint="eastAsia"/>
          <w:sz w:val="28"/>
          <w:szCs w:val="18"/>
        </w:rPr>
        <w:t>强企业中排名农业企业首位的北大荒集团，是集团的龙头企业之一。黑龙江北大荒马铃薯产业有限公司中国最大马铃薯精制淀粉生产企业，总部设在哈尔滨市，工程总投资</w:t>
      </w:r>
      <w:r w:rsidRPr="006E6750">
        <w:rPr>
          <w:rFonts w:ascii="仿宋_GB2312" w:eastAsia="仿宋_GB2312" w:hAnsi="宋体"/>
          <w:sz w:val="28"/>
          <w:szCs w:val="18"/>
        </w:rPr>
        <w:t>2.5</w:t>
      </w:r>
      <w:r w:rsidRPr="006E6750">
        <w:rPr>
          <w:rFonts w:ascii="仿宋_GB2312" w:eastAsia="仿宋_GB2312" w:hAnsi="宋体" w:hint="eastAsia"/>
          <w:sz w:val="28"/>
          <w:szCs w:val="18"/>
        </w:rPr>
        <w:t>亿元，其中精制淀粉加工厂投资</w:t>
      </w:r>
      <w:r w:rsidRPr="006E6750">
        <w:rPr>
          <w:rFonts w:ascii="仿宋_GB2312" w:eastAsia="仿宋_GB2312" w:hAnsi="宋体"/>
          <w:sz w:val="28"/>
          <w:szCs w:val="18"/>
        </w:rPr>
        <w:t>1.5</w:t>
      </w:r>
      <w:r w:rsidRPr="006E6750">
        <w:rPr>
          <w:rFonts w:ascii="仿宋_GB2312" w:eastAsia="仿宋_GB2312" w:hAnsi="宋体" w:hint="eastAsia"/>
          <w:sz w:val="28"/>
          <w:szCs w:val="18"/>
        </w:rPr>
        <w:t>亿元人民币，引进了具有世界先进水平的全自动、全电脑程控的现代化生产线。</w:t>
      </w:r>
    </w:p>
    <w:p w:rsidR="007E7E71" w:rsidRPr="006E6750" w:rsidRDefault="007E7E71" w:rsidP="009813F5">
      <w:pPr>
        <w:spacing w:line="360" w:lineRule="auto"/>
        <w:ind w:firstLineChars="200" w:firstLine="560"/>
        <w:rPr>
          <w:rFonts w:ascii="仿宋_GB2312" w:eastAsia="仿宋_GB2312"/>
          <w:sz w:val="28"/>
          <w:szCs w:val="18"/>
        </w:rPr>
      </w:pPr>
      <w:r w:rsidRPr="006E6750">
        <w:rPr>
          <w:rFonts w:ascii="仿宋_GB2312" w:eastAsia="仿宋_GB2312" w:hAnsi="宋体" w:hint="eastAsia"/>
          <w:sz w:val="28"/>
          <w:szCs w:val="18"/>
        </w:rPr>
        <w:t>公司工厂占地面积</w:t>
      </w:r>
      <w:r w:rsidRPr="006E6750">
        <w:rPr>
          <w:rFonts w:ascii="仿宋_GB2312" w:eastAsia="仿宋_GB2312" w:hAnsi="宋体"/>
          <w:sz w:val="28"/>
          <w:szCs w:val="18"/>
        </w:rPr>
        <w:t>11.4</w:t>
      </w:r>
      <w:r w:rsidRPr="006E6750">
        <w:rPr>
          <w:rFonts w:ascii="仿宋_GB2312" w:eastAsia="仿宋_GB2312" w:hAnsi="宋体" w:hint="eastAsia"/>
          <w:sz w:val="28"/>
          <w:szCs w:val="18"/>
        </w:rPr>
        <w:t>万平方米，建筑面</w:t>
      </w:r>
      <w:r w:rsidRPr="006E6750">
        <w:rPr>
          <w:rFonts w:ascii="仿宋_GB2312" w:eastAsia="仿宋_GB2312" w:hAnsi="宋体"/>
          <w:sz w:val="28"/>
          <w:szCs w:val="18"/>
        </w:rPr>
        <w:t>38406</w:t>
      </w:r>
      <w:r w:rsidRPr="006E6750">
        <w:rPr>
          <w:rFonts w:ascii="仿宋_GB2312" w:eastAsia="仿宋_GB2312" w:hAnsi="宋体" w:hint="eastAsia"/>
          <w:sz w:val="28"/>
          <w:szCs w:val="18"/>
        </w:rPr>
        <w:t>平方米，生产能力</w:t>
      </w:r>
      <w:r w:rsidRPr="006E6750">
        <w:rPr>
          <w:rFonts w:ascii="仿宋_GB2312" w:eastAsia="仿宋_GB2312" w:hAnsi="宋体"/>
          <w:sz w:val="28"/>
          <w:szCs w:val="18"/>
        </w:rPr>
        <w:t>90</w:t>
      </w:r>
      <w:r w:rsidRPr="006E6750">
        <w:rPr>
          <w:rFonts w:ascii="仿宋_GB2312" w:eastAsia="仿宋_GB2312" w:hAnsi="宋体" w:hint="eastAsia"/>
          <w:sz w:val="28"/>
          <w:szCs w:val="18"/>
        </w:rPr>
        <w:t>吨马铃薯</w:t>
      </w:r>
      <w:r w:rsidRPr="006E6750">
        <w:rPr>
          <w:rFonts w:ascii="仿宋_GB2312" w:eastAsia="仿宋_GB2312" w:hAnsi="宋体"/>
          <w:sz w:val="28"/>
          <w:szCs w:val="18"/>
        </w:rPr>
        <w:t>/</w:t>
      </w:r>
      <w:r w:rsidRPr="006E6750">
        <w:rPr>
          <w:rFonts w:ascii="仿宋_GB2312" w:eastAsia="仿宋_GB2312" w:hAnsi="宋体" w:hint="eastAsia"/>
          <w:sz w:val="28"/>
          <w:szCs w:val="18"/>
        </w:rPr>
        <w:t>小时，年加工</w:t>
      </w:r>
      <w:r w:rsidRPr="006E6750">
        <w:rPr>
          <w:rFonts w:ascii="仿宋_GB2312" w:eastAsia="仿宋_GB2312" w:hAnsi="宋体"/>
          <w:sz w:val="28"/>
          <w:szCs w:val="18"/>
        </w:rPr>
        <w:t>30</w:t>
      </w:r>
      <w:r w:rsidRPr="006E6750">
        <w:rPr>
          <w:rFonts w:ascii="仿宋_GB2312" w:eastAsia="仿宋_GB2312" w:hAnsi="宋体" w:hint="eastAsia"/>
          <w:sz w:val="28"/>
          <w:szCs w:val="18"/>
        </w:rPr>
        <w:t>万吨马铃薯，年产</w:t>
      </w:r>
      <w:r w:rsidRPr="006E6750">
        <w:rPr>
          <w:rFonts w:ascii="仿宋_GB2312" w:eastAsia="仿宋_GB2312" w:hAnsi="宋体"/>
          <w:sz w:val="28"/>
          <w:szCs w:val="18"/>
        </w:rPr>
        <w:t>5</w:t>
      </w:r>
      <w:r w:rsidRPr="006E6750">
        <w:rPr>
          <w:rFonts w:ascii="仿宋_GB2312" w:eastAsia="仿宋_GB2312" w:hAnsi="宋体" w:hint="eastAsia"/>
          <w:sz w:val="28"/>
          <w:szCs w:val="18"/>
        </w:rPr>
        <w:t>万吨精制淀粉。</w:t>
      </w:r>
    </w:p>
    <w:p w:rsidR="007E7E71" w:rsidRPr="006E6750" w:rsidRDefault="007E7E71" w:rsidP="009813F5">
      <w:pPr>
        <w:spacing w:line="360" w:lineRule="auto"/>
        <w:ind w:firstLineChars="200" w:firstLine="560"/>
        <w:rPr>
          <w:rFonts w:ascii="仿宋_GB2312" w:eastAsia="仿宋_GB2312"/>
          <w:sz w:val="28"/>
          <w:szCs w:val="18"/>
        </w:rPr>
      </w:pPr>
      <w:r w:rsidRPr="006E6750">
        <w:rPr>
          <w:rFonts w:ascii="仿宋_GB2312" w:eastAsia="仿宋_GB2312" w:hAnsi="宋体" w:hint="eastAsia"/>
          <w:sz w:val="28"/>
          <w:szCs w:val="18"/>
        </w:rPr>
        <w:t>公司研发中心投资</w:t>
      </w:r>
      <w:r w:rsidRPr="006E6750">
        <w:rPr>
          <w:rFonts w:ascii="仿宋_GB2312" w:eastAsia="仿宋_GB2312" w:hAnsi="宋体"/>
          <w:sz w:val="28"/>
          <w:szCs w:val="18"/>
        </w:rPr>
        <w:t>1</w:t>
      </w:r>
      <w:r w:rsidRPr="006E6750">
        <w:rPr>
          <w:rFonts w:ascii="仿宋_GB2312" w:eastAsia="仿宋_GB2312" w:hAnsi="宋体" w:hint="eastAsia"/>
          <w:sz w:val="28"/>
          <w:szCs w:val="18"/>
        </w:rPr>
        <w:t>亿元人民币，引入了荷兰全电脑程控马铃薯</w:t>
      </w:r>
      <w:r w:rsidRPr="006E6750">
        <w:rPr>
          <w:rFonts w:ascii="仿宋_GB2312" w:eastAsia="仿宋_GB2312" w:hAnsi="宋体" w:hint="eastAsia"/>
          <w:sz w:val="28"/>
          <w:szCs w:val="18"/>
        </w:rPr>
        <w:lastRenderedPageBreak/>
        <w:t>种薯精选及仓储设施，建成了一座</w:t>
      </w:r>
      <w:r w:rsidRPr="006E6750">
        <w:rPr>
          <w:rFonts w:ascii="仿宋_GB2312" w:eastAsia="仿宋_GB2312" w:hAnsi="宋体"/>
          <w:sz w:val="28"/>
          <w:szCs w:val="18"/>
        </w:rPr>
        <w:t>10032</w:t>
      </w:r>
      <w:r w:rsidRPr="006E6750">
        <w:rPr>
          <w:rFonts w:ascii="仿宋_GB2312" w:eastAsia="仿宋_GB2312" w:hAnsi="宋体" w:hint="eastAsia"/>
          <w:sz w:val="28"/>
          <w:szCs w:val="18"/>
        </w:rPr>
        <w:t>平方米电脑程控的现代化种薯库，仓储能力</w:t>
      </w:r>
      <w:r w:rsidRPr="006E6750">
        <w:rPr>
          <w:rFonts w:ascii="仿宋_GB2312" w:eastAsia="仿宋_GB2312" w:hAnsi="宋体"/>
          <w:sz w:val="28"/>
          <w:szCs w:val="18"/>
        </w:rPr>
        <w:t>2</w:t>
      </w:r>
      <w:r w:rsidRPr="006E6750">
        <w:rPr>
          <w:rFonts w:ascii="仿宋_GB2312" w:eastAsia="仿宋_GB2312" w:hAnsi="宋体" w:hint="eastAsia"/>
          <w:sz w:val="28"/>
          <w:szCs w:val="18"/>
        </w:rPr>
        <w:t>万吨；投资</w:t>
      </w:r>
      <w:r w:rsidRPr="006E6750">
        <w:rPr>
          <w:rFonts w:ascii="仿宋_GB2312" w:eastAsia="仿宋_GB2312" w:hAnsi="宋体"/>
          <w:sz w:val="28"/>
          <w:szCs w:val="18"/>
        </w:rPr>
        <w:t>4500</w:t>
      </w:r>
      <w:r w:rsidRPr="006E6750">
        <w:rPr>
          <w:rFonts w:ascii="仿宋_GB2312" w:eastAsia="仿宋_GB2312" w:hAnsi="宋体" w:hint="eastAsia"/>
          <w:sz w:val="28"/>
          <w:szCs w:val="18"/>
        </w:rPr>
        <w:t>万元人民币建成了占地</w:t>
      </w:r>
      <w:r w:rsidRPr="006E6750">
        <w:rPr>
          <w:rFonts w:ascii="仿宋_GB2312" w:eastAsia="仿宋_GB2312" w:hAnsi="宋体"/>
          <w:sz w:val="28"/>
          <w:szCs w:val="18"/>
        </w:rPr>
        <w:t>43000</w:t>
      </w:r>
      <w:r w:rsidRPr="006E6750">
        <w:rPr>
          <w:rFonts w:ascii="仿宋_GB2312" w:eastAsia="仿宋_GB2312" w:hAnsi="宋体" w:hint="eastAsia"/>
          <w:sz w:val="28"/>
          <w:szCs w:val="18"/>
        </w:rPr>
        <w:t>平方米的脱毒研究繁育中心；建立了</w:t>
      </w:r>
      <w:r w:rsidRPr="006E6750">
        <w:rPr>
          <w:rFonts w:ascii="仿宋_GB2312" w:eastAsia="仿宋_GB2312" w:hAnsi="宋体"/>
          <w:sz w:val="28"/>
          <w:szCs w:val="18"/>
        </w:rPr>
        <w:t>3000</w:t>
      </w:r>
      <w:r w:rsidRPr="006E6750">
        <w:rPr>
          <w:rFonts w:ascii="仿宋_GB2312" w:eastAsia="仿宋_GB2312" w:hAnsi="宋体" w:hint="eastAsia"/>
          <w:sz w:val="28"/>
          <w:szCs w:val="18"/>
        </w:rPr>
        <w:t>亩的种薯繁育科技园区；已筛选出适合马铃薯淀粉加工</w:t>
      </w:r>
      <w:r w:rsidRPr="006E6750">
        <w:rPr>
          <w:rFonts w:ascii="仿宋_GB2312" w:eastAsia="仿宋_GB2312" w:hint="eastAsia"/>
          <w:sz w:val="28"/>
          <w:szCs w:val="18"/>
        </w:rPr>
        <w:t>“</w:t>
      </w:r>
      <w:r w:rsidRPr="006E6750">
        <w:rPr>
          <w:rFonts w:ascii="仿宋_GB2312" w:eastAsia="仿宋_GB2312" w:hAnsi="宋体" w:hint="eastAsia"/>
          <w:sz w:val="28"/>
          <w:szCs w:val="18"/>
        </w:rPr>
        <w:t>三高</w:t>
      </w:r>
      <w:r w:rsidRPr="006E6750">
        <w:rPr>
          <w:rFonts w:ascii="仿宋_GB2312" w:eastAsia="仿宋_GB2312" w:hint="eastAsia"/>
          <w:sz w:val="28"/>
          <w:szCs w:val="18"/>
        </w:rPr>
        <w:t>”</w:t>
      </w:r>
      <w:r w:rsidRPr="006E6750">
        <w:rPr>
          <w:rFonts w:ascii="仿宋_GB2312" w:eastAsia="仿宋_GB2312" w:hAnsi="宋体" w:hint="eastAsia"/>
          <w:sz w:val="28"/>
          <w:szCs w:val="18"/>
        </w:rPr>
        <w:t>品种，适合炸薯条、薯片三高品种（高产、高含量、高抗病）</w:t>
      </w:r>
      <w:r w:rsidRPr="006E6750">
        <w:rPr>
          <w:rFonts w:ascii="仿宋_GB2312" w:eastAsia="仿宋_GB2312" w:hAnsi="宋体"/>
          <w:sz w:val="28"/>
          <w:szCs w:val="18"/>
        </w:rPr>
        <w:t>20</w:t>
      </w:r>
      <w:r w:rsidRPr="006E6750">
        <w:rPr>
          <w:rFonts w:ascii="仿宋_GB2312" w:eastAsia="仿宋_GB2312" w:hAnsi="宋体" w:hint="eastAsia"/>
          <w:sz w:val="28"/>
          <w:szCs w:val="18"/>
        </w:rPr>
        <w:t>余个。形成了脱毒马铃薯品种选育、品种筛选、脱毒快繁、原良种生产、种薯储藏、种</w:t>
      </w:r>
      <w:proofErr w:type="gramStart"/>
      <w:r w:rsidRPr="006E6750">
        <w:rPr>
          <w:rFonts w:ascii="仿宋_GB2312" w:eastAsia="仿宋_GB2312" w:hAnsi="宋体" w:hint="eastAsia"/>
          <w:sz w:val="28"/>
          <w:szCs w:val="18"/>
        </w:rPr>
        <w:t>薯经营</w:t>
      </w:r>
      <w:proofErr w:type="gramEnd"/>
      <w:r w:rsidRPr="006E6750">
        <w:rPr>
          <w:rFonts w:ascii="仿宋_GB2312" w:eastAsia="仿宋_GB2312" w:hAnsi="宋体" w:hint="eastAsia"/>
          <w:sz w:val="28"/>
          <w:szCs w:val="18"/>
        </w:rPr>
        <w:t>基地化、产业化体系。</w:t>
      </w:r>
    </w:p>
    <w:p w:rsidR="007E7E71" w:rsidRPr="006E6750" w:rsidRDefault="007E7E71" w:rsidP="009813F5">
      <w:pPr>
        <w:spacing w:line="360" w:lineRule="auto"/>
        <w:ind w:firstLineChars="200" w:firstLine="560"/>
        <w:rPr>
          <w:rFonts w:ascii="仿宋_GB2312" w:eastAsia="仿宋_GB2312"/>
          <w:color w:val="FF0000"/>
          <w:sz w:val="28"/>
        </w:rPr>
      </w:pPr>
      <w:r w:rsidRPr="006E6750">
        <w:rPr>
          <w:rFonts w:ascii="仿宋_GB2312" w:eastAsia="仿宋_GB2312" w:hAnsi="宋体" w:hint="eastAsia"/>
          <w:sz w:val="28"/>
          <w:szCs w:val="18"/>
        </w:rPr>
        <w:t>公司拥有原料基地</w:t>
      </w:r>
      <w:r w:rsidRPr="006E6750">
        <w:rPr>
          <w:rFonts w:ascii="仿宋_GB2312" w:eastAsia="仿宋_GB2312" w:hAnsi="宋体"/>
          <w:sz w:val="28"/>
          <w:szCs w:val="18"/>
        </w:rPr>
        <w:t>40.8</w:t>
      </w:r>
      <w:r w:rsidRPr="006E6750">
        <w:rPr>
          <w:rFonts w:ascii="仿宋_GB2312" w:eastAsia="仿宋_GB2312" w:hAnsi="宋体" w:hint="eastAsia"/>
          <w:sz w:val="28"/>
          <w:szCs w:val="18"/>
        </w:rPr>
        <w:t>万亩，地处中国的马铃薯之都、国家级生态示范区克山农场境内，农田水利喷灌等设施齐全，建立了国内唯一</w:t>
      </w:r>
      <w:proofErr w:type="gramStart"/>
      <w:r w:rsidRPr="006E6750">
        <w:rPr>
          <w:rFonts w:ascii="仿宋_GB2312" w:eastAsia="仿宋_GB2312" w:hAnsi="宋体" w:hint="eastAsia"/>
          <w:sz w:val="28"/>
          <w:szCs w:val="18"/>
        </w:rPr>
        <w:t>一个</w:t>
      </w:r>
      <w:proofErr w:type="gramEnd"/>
      <w:r w:rsidRPr="006E6750">
        <w:rPr>
          <w:rFonts w:ascii="仿宋_GB2312" w:eastAsia="仿宋_GB2312" w:hAnsi="宋体" w:hint="eastAsia"/>
          <w:sz w:val="28"/>
          <w:szCs w:val="18"/>
        </w:rPr>
        <w:t>现代化马铃薯农机服务中心，引进了具有国际先进水平的马铃薯播种机、收获机、</w:t>
      </w:r>
      <w:proofErr w:type="gramStart"/>
      <w:r w:rsidRPr="006E6750">
        <w:rPr>
          <w:rFonts w:ascii="仿宋_GB2312" w:eastAsia="仿宋_GB2312" w:hAnsi="宋体" w:hint="eastAsia"/>
          <w:sz w:val="28"/>
          <w:szCs w:val="18"/>
        </w:rPr>
        <w:t>打秧机</w:t>
      </w:r>
      <w:proofErr w:type="gramEnd"/>
      <w:r w:rsidRPr="006E6750">
        <w:rPr>
          <w:rFonts w:ascii="仿宋_GB2312" w:eastAsia="仿宋_GB2312" w:hAnsi="宋体"/>
          <w:sz w:val="28"/>
          <w:szCs w:val="18"/>
        </w:rPr>
        <w:t>70</w:t>
      </w:r>
      <w:r w:rsidRPr="006E6750">
        <w:rPr>
          <w:rFonts w:ascii="仿宋_GB2312" w:eastAsia="仿宋_GB2312" w:hAnsi="宋体" w:hint="eastAsia"/>
          <w:sz w:val="28"/>
          <w:szCs w:val="18"/>
        </w:rPr>
        <w:t>余台套，首次在国内实现了马铃薯种、管、收、储全程机械化。</w:t>
      </w:r>
    </w:p>
    <w:p w:rsidR="007E7E71" w:rsidRPr="006E6750" w:rsidRDefault="007E7E71">
      <w:pPr>
        <w:rPr>
          <w:rFonts w:ascii="仿宋_GB2312" w:eastAsia="仿宋_GB2312"/>
          <w:b/>
          <w:bCs/>
          <w:sz w:val="32"/>
          <w:szCs w:val="32"/>
        </w:rPr>
      </w:pPr>
      <w:r w:rsidRPr="006E6750">
        <w:rPr>
          <w:rFonts w:ascii="仿宋_GB2312" w:eastAsia="仿宋_GB2312" w:hint="eastAsia"/>
          <w:b/>
          <w:bCs/>
          <w:sz w:val="32"/>
          <w:szCs w:val="32"/>
        </w:rPr>
        <w:t>二、企业污染物产生、处理污染情况概括</w:t>
      </w:r>
    </w:p>
    <w:p w:rsidR="007E7E71" w:rsidRPr="006E6750" w:rsidRDefault="007E7E71" w:rsidP="009813F5">
      <w:pPr>
        <w:ind w:firstLineChars="150" w:firstLine="450"/>
        <w:rPr>
          <w:rFonts w:ascii="仿宋_GB2312" w:eastAsia="仿宋_GB2312"/>
          <w:sz w:val="32"/>
          <w:szCs w:val="32"/>
        </w:rPr>
      </w:pPr>
      <w:r w:rsidRPr="006E6750">
        <w:rPr>
          <w:rFonts w:ascii="仿宋_GB2312" w:eastAsia="仿宋_GB2312" w:hAnsi="华文中宋" w:hint="eastAsia"/>
          <w:sz w:val="30"/>
          <w:szCs w:val="30"/>
        </w:rPr>
        <w:t>（一）</w:t>
      </w:r>
      <w:r w:rsidRPr="006E6750">
        <w:rPr>
          <w:rFonts w:ascii="仿宋_GB2312" w:eastAsia="仿宋_GB2312" w:hAnsi="华文中宋" w:hint="eastAsia"/>
          <w:sz w:val="32"/>
          <w:szCs w:val="32"/>
        </w:rPr>
        <w:t>企业主要污染物产生、处理处置及排放管理情况</w:t>
      </w:r>
    </w:p>
    <w:p w:rsidR="007E7E71" w:rsidRPr="006E6750" w:rsidRDefault="007E7E71" w:rsidP="009813F5">
      <w:pPr>
        <w:ind w:firstLineChars="200" w:firstLine="640"/>
        <w:rPr>
          <w:rFonts w:ascii="仿宋_GB2312" w:eastAsia="仿宋_GB2312"/>
          <w:sz w:val="32"/>
          <w:szCs w:val="32"/>
        </w:rPr>
      </w:pPr>
      <w:r w:rsidRPr="006E6750">
        <w:rPr>
          <w:rFonts w:ascii="仿宋_GB2312" w:eastAsia="仿宋_GB2312"/>
          <w:sz w:val="32"/>
          <w:szCs w:val="32"/>
        </w:rPr>
        <w:t>1</w:t>
      </w:r>
      <w:r w:rsidRPr="006E6750">
        <w:rPr>
          <w:rFonts w:ascii="仿宋_GB2312" w:eastAsia="仿宋_GB2312" w:hint="eastAsia"/>
          <w:sz w:val="32"/>
          <w:szCs w:val="32"/>
        </w:rPr>
        <w:t>、工业废水</w:t>
      </w:r>
    </w:p>
    <w:p w:rsidR="007E7E71" w:rsidRPr="006E6750" w:rsidRDefault="007E7E71" w:rsidP="009813F5">
      <w:pPr>
        <w:ind w:firstLineChars="150" w:firstLine="480"/>
        <w:rPr>
          <w:rFonts w:ascii="仿宋_GB2312" w:eastAsia="仿宋_GB2312"/>
          <w:sz w:val="32"/>
          <w:szCs w:val="32"/>
        </w:rPr>
      </w:pPr>
      <w:r w:rsidRPr="006E6750">
        <w:rPr>
          <w:rFonts w:ascii="仿宋_GB2312" w:eastAsia="仿宋_GB2312"/>
          <w:sz w:val="32"/>
          <w:szCs w:val="32"/>
        </w:rPr>
        <w:t xml:space="preserve"> </w:t>
      </w:r>
      <w:r w:rsidRPr="006E6750">
        <w:rPr>
          <w:rFonts w:ascii="仿宋_GB2312" w:eastAsia="仿宋_GB2312" w:hint="eastAsia"/>
          <w:sz w:val="32"/>
          <w:szCs w:val="32"/>
        </w:rPr>
        <w:t>我公司的废水主要是马铃薯汁水和马铃薯洗涤用水。主要污染物为氨氮、化学需氧量、悬浮物素等。</w:t>
      </w:r>
    </w:p>
    <w:p w:rsidR="007E7E71" w:rsidRPr="006E6750" w:rsidRDefault="007E7E71" w:rsidP="009813F5">
      <w:pPr>
        <w:ind w:firstLineChars="150" w:firstLine="480"/>
        <w:rPr>
          <w:rFonts w:ascii="仿宋_GB2312" w:eastAsia="仿宋_GB2312" w:hAnsi="华文中宋"/>
          <w:sz w:val="32"/>
          <w:szCs w:val="32"/>
        </w:rPr>
      </w:pPr>
      <w:r w:rsidRPr="006E6750">
        <w:rPr>
          <w:rFonts w:ascii="仿宋_GB2312" w:eastAsia="仿宋_GB2312" w:hAnsi="华文中宋" w:hint="eastAsia"/>
          <w:sz w:val="32"/>
          <w:szCs w:val="32"/>
        </w:rPr>
        <w:t>（二）处理情况</w:t>
      </w:r>
    </w:p>
    <w:p w:rsidR="007E7E71" w:rsidRPr="006E6750" w:rsidRDefault="007E7E71" w:rsidP="009813F5">
      <w:pPr>
        <w:spacing w:line="360" w:lineRule="auto"/>
        <w:ind w:firstLineChars="200" w:firstLine="640"/>
        <w:rPr>
          <w:rFonts w:ascii="仿宋_GB2312" w:eastAsia="仿宋_GB2312"/>
          <w:b/>
          <w:bCs/>
          <w:sz w:val="28"/>
        </w:rPr>
      </w:pPr>
      <w:r w:rsidRPr="006E6750">
        <w:rPr>
          <w:rFonts w:ascii="仿宋_GB2312" w:eastAsia="仿宋_GB2312" w:hAnsi="华文中宋"/>
          <w:sz w:val="32"/>
          <w:szCs w:val="32"/>
        </w:rPr>
        <w:t xml:space="preserve">   </w:t>
      </w:r>
      <w:r w:rsidRPr="006E6750">
        <w:rPr>
          <w:rFonts w:ascii="仿宋_GB2312" w:eastAsia="仿宋_GB2312" w:hAnsi="宋体"/>
          <w:b/>
          <w:bCs/>
          <w:sz w:val="28"/>
        </w:rPr>
        <w:t>1.</w:t>
      </w:r>
      <w:r w:rsidRPr="006E6750">
        <w:rPr>
          <w:rFonts w:ascii="仿宋_GB2312" w:eastAsia="仿宋_GB2312" w:hAnsi="宋体" w:hint="eastAsia"/>
          <w:b/>
          <w:bCs/>
          <w:sz w:val="28"/>
        </w:rPr>
        <w:t>预处理工段</w:t>
      </w:r>
    </w:p>
    <w:p w:rsidR="007E7E71" w:rsidRPr="006E6750" w:rsidRDefault="007E7E71" w:rsidP="009813F5">
      <w:pPr>
        <w:spacing w:line="360" w:lineRule="auto"/>
        <w:ind w:firstLineChars="200" w:firstLine="560"/>
        <w:rPr>
          <w:rFonts w:ascii="仿宋_GB2312" w:eastAsia="仿宋_GB2312"/>
          <w:sz w:val="28"/>
        </w:rPr>
      </w:pPr>
      <w:r w:rsidRPr="006E6750">
        <w:rPr>
          <w:rFonts w:ascii="仿宋_GB2312" w:eastAsia="仿宋_GB2312" w:hAnsi="宋体" w:hint="eastAsia"/>
          <w:sz w:val="28"/>
        </w:rPr>
        <w:t>厌氧处理与其他废水处理系统一样也需要必要的预处理系统，从功能方面考虑厌氧处理的预处理系统除了有与一般处理系统的水质和水量调节系统以外，还要求生物酸化功能、水温调节功能和</w:t>
      </w:r>
      <w:r w:rsidRPr="006E6750">
        <w:rPr>
          <w:rFonts w:ascii="仿宋_GB2312" w:eastAsia="仿宋_GB2312" w:hAnsi="宋体"/>
          <w:sz w:val="28"/>
        </w:rPr>
        <w:t>pH</w:t>
      </w:r>
      <w:r w:rsidRPr="006E6750">
        <w:rPr>
          <w:rFonts w:ascii="仿宋_GB2312" w:eastAsia="仿宋_GB2312" w:hAnsi="宋体" w:hint="eastAsia"/>
          <w:sz w:val="28"/>
        </w:rPr>
        <w:t>控</w:t>
      </w:r>
      <w:r w:rsidRPr="006E6750">
        <w:rPr>
          <w:rFonts w:ascii="仿宋_GB2312" w:eastAsia="仿宋_GB2312" w:hAnsi="宋体" w:hint="eastAsia"/>
          <w:sz w:val="28"/>
        </w:rPr>
        <w:lastRenderedPageBreak/>
        <w:t>制功能等不同的特殊要求。由于该工程的废水是由多种废水组成，为了保证后续处理系统的稳定运行，预处理系统就显得尤为重要。</w:t>
      </w:r>
    </w:p>
    <w:p w:rsidR="007E7E71" w:rsidRPr="006E6750" w:rsidRDefault="007E7E71" w:rsidP="009813F5">
      <w:pPr>
        <w:tabs>
          <w:tab w:val="left" w:pos="360"/>
          <w:tab w:val="left" w:pos="1800"/>
          <w:tab w:val="left" w:pos="2520"/>
        </w:tabs>
        <w:spacing w:before="120" w:line="360" w:lineRule="auto"/>
        <w:ind w:firstLineChars="200" w:firstLine="560"/>
        <w:rPr>
          <w:rFonts w:ascii="仿宋_GB2312" w:eastAsia="仿宋_GB2312"/>
          <w:sz w:val="24"/>
        </w:rPr>
      </w:pPr>
      <w:r w:rsidRPr="006E6750">
        <w:rPr>
          <w:rFonts w:ascii="仿宋_GB2312" w:eastAsia="仿宋_GB2312" w:hAnsi="宋体" w:hint="eastAsia"/>
          <w:sz w:val="28"/>
        </w:rPr>
        <w:t>在预处理工段主要完成以下几项任务：</w:t>
      </w:r>
      <w:r w:rsidRPr="006E6750">
        <w:rPr>
          <w:rFonts w:ascii="仿宋_GB2312" w:eastAsia="仿宋_GB2312" w:hAnsi="宋体"/>
          <w:sz w:val="28"/>
        </w:rPr>
        <w:t>1</w:t>
      </w:r>
      <w:r w:rsidRPr="006E6750">
        <w:rPr>
          <w:rFonts w:ascii="仿宋_GB2312" w:eastAsia="仿宋_GB2312" w:hAnsi="宋体" w:hint="eastAsia"/>
          <w:sz w:val="28"/>
        </w:rPr>
        <w:t>、去除大部分淀粉小颗粒及蛋白，同时去除细胞液废水产生的泡沫。</w:t>
      </w:r>
      <w:r w:rsidRPr="006E6750">
        <w:rPr>
          <w:rFonts w:ascii="仿宋_GB2312" w:eastAsia="仿宋_GB2312" w:hAnsi="宋体"/>
          <w:sz w:val="28"/>
        </w:rPr>
        <w:t xml:space="preserve"> 2</w:t>
      </w:r>
      <w:r w:rsidRPr="006E6750">
        <w:rPr>
          <w:rFonts w:ascii="仿宋_GB2312" w:eastAsia="仿宋_GB2312" w:hAnsi="宋体" w:hint="eastAsia"/>
          <w:sz w:val="28"/>
        </w:rPr>
        <w:t>、去除不易容分解的细纤维</w:t>
      </w:r>
      <w:r w:rsidRPr="006E6750">
        <w:rPr>
          <w:rFonts w:ascii="仿宋_GB2312" w:eastAsia="仿宋_GB2312" w:hAnsi="宋体"/>
          <w:sz w:val="28"/>
        </w:rPr>
        <w:t>3</w:t>
      </w:r>
      <w:r w:rsidRPr="006E6750">
        <w:rPr>
          <w:rFonts w:ascii="仿宋_GB2312" w:eastAsia="仿宋_GB2312" w:hAnsi="宋体" w:hint="eastAsia"/>
          <w:sz w:val="28"/>
        </w:rPr>
        <w:t>、去除大部分砂，以减小对后续处理构筑物的影响。</w:t>
      </w:r>
      <w:r w:rsidRPr="006E6750">
        <w:rPr>
          <w:rFonts w:ascii="仿宋_GB2312" w:eastAsia="仿宋_GB2312" w:hAnsi="宋体"/>
          <w:sz w:val="28"/>
        </w:rPr>
        <w:t>4</w:t>
      </w:r>
      <w:r w:rsidRPr="006E6750">
        <w:rPr>
          <w:rFonts w:ascii="仿宋_GB2312" w:eastAsia="仿宋_GB2312" w:hAnsi="宋体" w:hint="eastAsia"/>
          <w:sz w:val="28"/>
        </w:rPr>
        <w:t>、均匀水量和水质，避免对处理系统造成大的冲击；</w:t>
      </w:r>
      <w:r w:rsidRPr="006E6750">
        <w:rPr>
          <w:rFonts w:ascii="仿宋_GB2312" w:eastAsia="仿宋_GB2312" w:hAnsi="宋体"/>
          <w:sz w:val="28"/>
        </w:rPr>
        <w:t>5</w:t>
      </w:r>
      <w:r w:rsidRPr="006E6750">
        <w:rPr>
          <w:rFonts w:ascii="仿宋_GB2312" w:eastAsia="仿宋_GB2312" w:hAnsi="宋体" w:hint="eastAsia"/>
          <w:sz w:val="28"/>
        </w:rPr>
        <w:t>、调节废水的</w:t>
      </w:r>
      <w:r w:rsidRPr="006E6750">
        <w:rPr>
          <w:rFonts w:ascii="仿宋_GB2312" w:eastAsia="仿宋_GB2312" w:hAnsi="宋体"/>
          <w:sz w:val="28"/>
        </w:rPr>
        <w:t>pH</w:t>
      </w:r>
      <w:r w:rsidRPr="006E6750">
        <w:rPr>
          <w:rFonts w:ascii="仿宋_GB2312" w:eastAsia="仿宋_GB2312" w:hAnsi="宋体" w:hint="eastAsia"/>
          <w:sz w:val="28"/>
        </w:rPr>
        <w:t>值和温度，使之达到厌氧系统运行的要求。</w:t>
      </w:r>
      <w:r w:rsidRPr="006E6750">
        <w:rPr>
          <w:rFonts w:ascii="仿宋_GB2312" w:eastAsia="仿宋_GB2312" w:hAnsi="宋体"/>
          <w:sz w:val="28"/>
        </w:rPr>
        <w:t xml:space="preserve"> </w:t>
      </w:r>
    </w:p>
    <w:p w:rsidR="007E7E71" w:rsidRPr="006E6750" w:rsidRDefault="007E7E71" w:rsidP="009813F5">
      <w:pPr>
        <w:spacing w:line="360" w:lineRule="auto"/>
        <w:ind w:firstLineChars="200" w:firstLine="562"/>
        <w:rPr>
          <w:rFonts w:ascii="仿宋_GB2312" w:eastAsia="仿宋_GB2312"/>
          <w:b/>
          <w:bCs/>
          <w:sz w:val="28"/>
        </w:rPr>
      </w:pPr>
      <w:r w:rsidRPr="006E6750">
        <w:rPr>
          <w:rFonts w:ascii="仿宋_GB2312" w:eastAsia="仿宋_GB2312" w:hAnsi="宋体"/>
          <w:b/>
          <w:bCs/>
          <w:sz w:val="28"/>
        </w:rPr>
        <w:t>2.</w:t>
      </w:r>
      <w:r w:rsidRPr="006E6750">
        <w:rPr>
          <w:rFonts w:ascii="仿宋_GB2312" w:eastAsia="仿宋_GB2312" w:hAnsi="宋体" w:hint="eastAsia"/>
          <w:b/>
          <w:bCs/>
          <w:sz w:val="28"/>
        </w:rPr>
        <w:t>厌氧处理工段</w:t>
      </w:r>
    </w:p>
    <w:p w:rsidR="007E7E71" w:rsidRPr="006E6750" w:rsidRDefault="007E7E71" w:rsidP="009813F5">
      <w:pPr>
        <w:spacing w:line="360" w:lineRule="auto"/>
        <w:ind w:firstLineChars="200" w:firstLine="560"/>
        <w:rPr>
          <w:rFonts w:ascii="仿宋_GB2312" w:eastAsia="仿宋_GB2312"/>
          <w:sz w:val="28"/>
        </w:rPr>
      </w:pPr>
      <w:r w:rsidRPr="006E6750">
        <w:rPr>
          <w:rFonts w:ascii="仿宋_GB2312" w:eastAsia="仿宋_GB2312" w:hAnsi="宋体" w:hint="eastAsia"/>
          <w:sz w:val="28"/>
        </w:rPr>
        <w:t>厌氧处理工艺是针对高浓度有机废水的一种有效、节能的工艺，在此阶段，有机废水中的有机物在厌氧菌的作用下被转化成沼气。而沼气是一种清洁燃料，可以回收利用。由于厌氧反应不需要氧气的参与，因此节省了动力费用。</w:t>
      </w:r>
    </w:p>
    <w:p w:rsidR="007E7E71" w:rsidRPr="006E6750" w:rsidRDefault="007E7E71" w:rsidP="009813F5">
      <w:pPr>
        <w:spacing w:line="560" w:lineRule="exact"/>
        <w:ind w:firstLineChars="200" w:firstLine="560"/>
        <w:rPr>
          <w:rFonts w:ascii="仿宋_GB2312" w:eastAsia="仿宋_GB2312"/>
          <w:sz w:val="28"/>
          <w:szCs w:val="28"/>
        </w:rPr>
      </w:pPr>
      <w:r w:rsidRPr="006E6750">
        <w:rPr>
          <w:rFonts w:ascii="仿宋_GB2312" w:eastAsia="仿宋_GB2312"/>
          <w:sz w:val="28"/>
          <w:szCs w:val="28"/>
        </w:rPr>
        <w:t>UASB</w:t>
      </w:r>
      <w:r w:rsidRPr="006E6750">
        <w:rPr>
          <w:rFonts w:ascii="仿宋_GB2312" w:eastAsia="仿宋_GB2312" w:hint="eastAsia"/>
          <w:sz w:val="28"/>
          <w:szCs w:val="28"/>
        </w:rPr>
        <w:t>反应器作为高速厌氧反应器的主要原因是能在其</w:t>
      </w:r>
      <w:proofErr w:type="gramStart"/>
      <w:r w:rsidRPr="006E6750">
        <w:rPr>
          <w:rFonts w:ascii="仿宋_GB2312" w:eastAsia="仿宋_GB2312" w:hint="eastAsia"/>
          <w:sz w:val="28"/>
          <w:szCs w:val="28"/>
        </w:rPr>
        <w:t>污泥床区形成</w:t>
      </w:r>
      <w:proofErr w:type="gramEnd"/>
      <w:r w:rsidRPr="006E6750">
        <w:rPr>
          <w:rFonts w:ascii="仿宋_GB2312" w:eastAsia="仿宋_GB2312" w:hint="eastAsia"/>
          <w:sz w:val="28"/>
          <w:szCs w:val="28"/>
        </w:rPr>
        <w:t>沉降性能优越，活性很高的颗粒污泥。由于颗粒污泥良好的沉降性能，大幅度降低了厌氧微生物被冲出反应器的量，从而使整个反应器内的厌氧微生物浓度较别的反应器高，反应区污泥平均浓度可达到</w:t>
      </w:r>
      <w:r w:rsidRPr="006E6750">
        <w:rPr>
          <w:rFonts w:ascii="仿宋_GB2312" w:eastAsia="仿宋_GB2312"/>
          <w:sz w:val="28"/>
          <w:szCs w:val="28"/>
        </w:rPr>
        <w:t>20</w:t>
      </w:r>
      <w:r w:rsidRPr="006E6750">
        <w:rPr>
          <w:rFonts w:ascii="仿宋_GB2312" w:eastAsia="仿宋_GB2312" w:hint="eastAsia"/>
          <w:sz w:val="28"/>
          <w:szCs w:val="28"/>
        </w:rPr>
        <w:t>～</w:t>
      </w:r>
      <w:r w:rsidRPr="006E6750">
        <w:rPr>
          <w:rFonts w:ascii="仿宋_GB2312" w:eastAsia="仿宋_GB2312"/>
          <w:sz w:val="28"/>
          <w:szCs w:val="28"/>
        </w:rPr>
        <w:t>40gVSS/L</w:t>
      </w:r>
      <w:r w:rsidRPr="006E6750">
        <w:rPr>
          <w:rFonts w:ascii="仿宋_GB2312" w:eastAsia="仿宋_GB2312" w:hint="eastAsia"/>
          <w:sz w:val="28"/>
          <w:szCs w:val="28"/>
        </w:rPr>
        <w:t>，提高</w:t>
      </w:r>
      <w:r w:rsidRPr="006E6750">
        <w:rPr>
          <w:rFonts w:ascii="仿宋_GB2312" w:eastAsia="仿宋_GB2312" w:hAnsi="宋体" w:hint="eastAsia"/>
          <w:sz w:val="28"/>
          <w:szCs w:val="28"/>
        </w:rPr>
        <w:t>了反应器的效能。另一方面由于颗粒污泥的形成，大大地加强了厌氧细菌的中间氢转移，提高了污泥的活性，从而也提高了反应器的效能。</w:t>
      </w:r>
    </w:p>
    <w:p w:rsidR="007E7E71" w:rsidRPr="006E6750" w:rsidRDefault="007E7E71" w:rsidP="009813F5">
      <w:pPr>
        <w:spacing w:line="360" w:lineRule="auto"/>
        <w:ind w:firstLineChars="200" w:firstLine="560"/>
        <w:rPr>
          <w:rFonts w:ascii="仿宋_GB2312" w:eastAsia="仿宋_GB2312"/>
          <w:sz w:val="28"/>
        </w:rPr>
      </w:pPr>
    </w:p>
    <w:p w:rsidR="007E7E71" w:rsidRPr="006E6750" w:rsidRDefault="007E7E71" w:rsidP="009813F5">
      <w:pPr>
        <w:spacing w:line="360" w:lineRule="auto"/>
        <w:ind w:firstLineChars="200" w:firstLine="562"/>
        <w:rPr>
          <w:rFonts w:ascii="仿宋_GB2312" w:eastAsia="仿宋_GB2312"/>
          <w:sz w:val="28"/>
        </w:rPr>
      </w:pPr>
      <w:r w:rsidRPr="006E6750">
        <w:rPr>
          <w:rFonts w:ascii="仿宋_GB2312" w:eastAsia="仿宋_GB2312" w:hAnsi="宋体"/>
          <w:b/>
          <w:bCs/>
          <w:sz w:val="28"/>
        </w:rPr>
        <w:t>3.</w:t>
      </w:r>
      <w:r w:rsidRPr="006E6750">
        <w:rPr>
          <w:rFonts w:ascii="仿宋_GB2312" w:eastAsia="仿宋_GB2312" w:hAnsi="宋体" w:hint="eastAsia"/>
          <w:b/>
          <w:bCs/>
          <w:sz w:val="28"/>
        </w:rPr>
        <w:t>好</w:t>
      </w:r>
      <w:proofErr w:type="gramStart"/>
      <w:r w:rsidRPr="006E6750">
        <w:rPr>
          <w:rFonts w:ascii="仿宋_GB2312" w:eastAsia="仿宋_GB2312" w:hAnsi="宋体" w:hint="eastAsia"/>
          <w:b/>
          <w:bCs/>
          <w:sz w:val="28"/>
        </w:rPr>
        <w:t>氧处理</w:t>
      </w:r>
      <w:proofErr w:type="gramEnd"/>
      <w:r w:rsidRPr="006E6750">
        <w:rPr>
          <w:rFonts w:ascii="仿宋_GB2312" w:eastAsia="仿宋_GB2312" w:hAnsi="宋体" w:hint="eastAsia"/>
          <w:b/>
          <w:bCs/>
          <w:sz w:val="28"/>
        </w:rPr>
        <w:t>工段</w:t>
      </w:r>
    </w:p>
    <w:p w:rsidR="007E7E71" w:rsidRPr="006E6750" w:rsidRDefault="007E7E71" w:rsidP="009813F5">
      <w:pPr>
        <w:spacing w:line="360" w:lineRule="auto"/>
        <w:ind w:firstLineChars="200" w:firstLine="560"/>
        <w:rPr>
          <w:rFonts w:ascii="仿宋_GB2312" w:eastAsia="仿宋_GB2312"/>
          <w:sz w:val="28"/>
        </w:rPr>
      </w:pPr>
      <w:r w:rsidRPr="006E6750">
        <w:rPr>
          <w:rFonts w:ascii="仿宋_GB2312" w:eastAsia="仿宋_GB2312" w:hAnsi="宋体" w:hint="eastAsia"/>
          <w:sz w:val="28"/>
        </w:rPr>
        <w:t>经过厌氧处理的废水，其绝大部分的污染物已经被去除，但仍然达不到国家规定的排放标准。为了进一步降低废水中污染物含量，还</w:t>
      </w:r>
      <w:r w:rsidRPr="006E6750">
        <w:rPr>
          <w:rFonts w:ascii="仿宋_GB2312" w:eastAsia="仿宋_GB2312" w:hAnsi="宋体" w:hint="eastAsia"/>
          <w:sz w:val="28"/>
        </w:rPr>
        <w:lastRenderedPageBreak/>
        <w:t>需要通过好</w:t>
      </w:r>
      <w:proofErr w:type="gramStart"/>
      <w:r w:rsidRPr="006E6750">
        <w:rPr>
          <w:rFonts w:ascii="仿宋_GB2312" w:eastAsia="仿宋_GB2312" w:hAnsi="宋体" w:hint="eastAsia"/>
          <w:sz w:val="28"/>
        </w:rPr>
        <w:t>氧处理</w:t>
      </w:r>
      <w:proofErr w:type="gramEnd"/>
      <w:r w:rsidRPr="006E6750">
        <w:rPr>
          <w:rFonts w:ascii="仿宋_GB2312" w:eastAsia="仿宋_GB2312" w:hAnsi="宋体" w:hint="eastAsia"/>
          <w:sz w:val="28"/>
        </w:rPr>
        <w:t>工艺进行二级生物处理。</w:t>
      </w:r>
    </w:p>
    <w:p w:rsidR="007E7E71" w:rsidRPr="006E6750" w:rsidRDefault="007E7E71" w:rsidP="00242EA6">
      <w:pPr>
        <w:spacing w:line="360" w:lineRule="auto"/>
        <w:ind w:firstLine="570"/>
        <w:rPr>
          <w:rFonts w:ascii="仿宋_GB2312" w:eastAsia="仿宋_GB2312"/>
          <w:sz w:val="28"/>
        </w:rPr>
      </w:pPr>
      <w:r w:rsidRPr="006E6750">
        <w:rPr>
          <w:rFonts w:ascii="仿宋_GB2312" w:eastAsia="仿宋_GB2312" w:hAnsi="宋体" w:hint="eastAsia"/>
          <w:sz w:val="28"/>
        </w:rPr>
        <w:t>废水中的氮污染物是水体富营养化的主要原因。随着我国环保意识和环保技术的不断加强，对于氮污染物的控制也提出了更高的要求。这就要求好</w:t>
      </w:r>
      <w:proofErr w:type="gramStart"/>
      <w:r w:rsidRPr="006E6750">
        <w:rPr>
          <w:rFonts w:ascii="仿宋_GB2312" w:eastAsia="仿宋_GB2312" w:hAnsi="宋体" w:hint="eastAsia"/>
          <w:sz w:val="28"/>
        </w:rPr>
        <w:t>氧处理</w:t>
      </w:r>
      <w:proofErr w:type="gramEnd"/>
      <w:r w:rsidRPr="006E6750">
        <w:rPr>
          <w:rFonts w:ascii="仿宋_GB2312" w:eastAsia="仿宋_GB2312" w:hAnsi="宋体" w:hint="eastAsia"/>
          <w:sz w:val="28"/>
        </w:rPr>
        <w:t>工艺不仅对有机污染物而且对氨氮具有良好的去除效果。在生物脱碳脱氮系统中，不但要去除有机物，还要将废水中的含氮物质通过生物硝化反硝化作用转化为氮气，最终从污水中除去，生物脱氮包括下面三个过程：</w:t>
      </w:r>
    </w:p>
    <w:p w:rsidR="007E7E71" w:rsidRPr="006E6750" w:rsidRDefault="007E7E71" w:rsidP="00242EA6">
      <w:pPr>
        <w:spacing w:line="360" w:lineRule="auto"/>
        <w:ind w:firstLine="570"/>
        <w:rPr>
          <w:rFonts w:ascii="仿宋_GB2312" w:eastAsia="仿宋_GB2312"/>
          <w:sz w:val="28"/>
        </w:rPr>
      </w:pPr>
      <w:r w:rsidRPr="006E6750">
        <w:rPr>
          <w:rFonts w:ascii="仿宋_GB2312" w:eastAsia="仿宋_GB2312" w:hAnsi="宋体"/>
          <w:sz w:val="28"/>
        </w:rPr>
        <w:t>a.</w:t>
      </w:r>
      <w:r w:rsidRPr="006E6750">
        <w:rPr>
          <w:rFonts w:ascii="仿宋_GB2312" w:eastAsia="仿宋_GB2312" w:hAnsi="宋体" w:hint="eastAsia"/>
          <w:sz w:val="28"/>
        </w:rPr>
        <w:t>同化过程，污水中一部分氨氮被同化为新细胞物质，以剩余污泥的形式去除；</w:t>
      </w:r>
    </w:p>
    <w:p w:rsidR="007E7E71" w:rsidRPr="006E6750" w:rsidRDefault="007E7E71" w:rsidP="00242EA6">
      <w:pPr>
        <w:spacing w:line="360" w:lineRule="auto"/>
        <w:ind w:firstLine="570"/>
        <w:rPr>
          <w:rFonts w:ascii="仿宋_GB2312" w:eastAsia="仿宋_GB2312"/>
          <w:sz w:val="28"/>
        </w:rPr>
      </w:pPr>
      <w:r w:rsidRPr="006E6750">
        <w:rPr>
          <w:rFonts w:ascii="仿宋_GB2312" w:eastAsia="仿宋_GB2312" w:hAnsi="宋体"/>
          <w:sz w:val="28"/>
        </w:rPr>
        <w:t>b.</w:t>
      </w:r>
      <w:r w:rsidRPr="006E6750">
        <w:rPr>
          <w:rFonts w:ascii="仿宋_GB2312" w:eastAsia="仿宋_GB2312" w:hAnsi="宋体" w:hint="eastAsia"/>
          <w:sz w:val="28"/>
        </w:rPr>
        <w:t>硝化过程，即硝化细菌将氨氮转化为硝态氮；</w:t>
      </w:r>
    </w:p>
    <w:p w:rsidR="007E7E71" w:rsidRPr="006E6750" w:rsidRDefault="007E7E71" w:rsidP="00242EA6">
      <w:pPr>
        <w:spacing w:line="360" w:lineRule="auto"/>
        <w:ind w:firstLine="570"/>
        <w:rPr>
          <w:rFonts w:ascii="仿宋_GB2312" w:eastAsia="仿宋_GB2312"/>
          <w:sz w:val="28"/>
        </w:rPr>
      </w:pPr>
      <w:r w:rsidRPr="006E6750">
        <w:rPr>
          <w:rFonts w:ascii="仿宋_GB2312" w:eastAsia="仿宋_GB2312" w:hAnsi="宋体"/>
          <w:sz w:val="28"/>
        </w:rPr>
        <w:t>c.</w:t>
      </w:r>
      <w:r w:rsidRPr="006E6750">
        <w:rPr>
          <w:rFonts w:ascii="仿宋_GB2312" w:eastAsia="仿宋_GB2312" w:hAnsi="宋体" w:hint="eastAsia"/>
          <w:sz w:val="28"/>
        </w:rPr>
        <w:t>反硝化过程，即反硝化细菌将硝态氮转化为氮气，然后使氮气从污水中释放进入大气。</w:t>
      </w:r>
    </w:p>
    <w:p w:rsidR="007E7E71" w:rsidRPr="006E6750" w:rsidRDefault="007E7E71" w:rsidP="009813F5">
      <w:pPr>
        <w:spacing w:line="360" w:lineRule="auto"/>
        <w:ind w:firstLineChars="200" w:firstLine="560"/>
        <w:rPr>
          <w:rFonts w:ascii="仿宋_GB2312" w:eastAsia="仿宋_GB2312"/>
          <w:sz w:val="28"/>
        </w:rPr>
      </w:pPr>
    </w:p>
    <w:p w:rsidR="007E7E71" w:rsidRPr="006E6750" w:rsidRDefault="007E7E71" w:rsidP="009813F5">
      <w:pPr>
        <w:spacing w:line="360" w:lineRule="auto"/>
        <w:ind w:firstLineChars="200" w:firstLine="562"/>
        <w:rPr>
          <w:rFonts w:ascii="仿宋_GB2312" w:eastAsia="仿宋_GB2312"/>
          <w:sz w:val="28"/>
        </w:rPr>
      </w:pPr>
      <w:r w:rsidRPr="006E6750">
        <w:rPr>
          <w:rFonts w:ascii="仿宋_GB2312" w:eastAsia="仿宋_GB2312" w:hAnsi="宋体"/>
          <w:b/>
          <w:bCs/>
          <w:sz w:val="28"/>
        </w:rPr>
        <w:t>4.</w:t>
      </w:r>
      <w:r w:rsidRPr="006E6750">
        <w:rPr>
          <w:rFonts w:ascii="仿宋_GB2312" w:eastAsia="仿宋_GB2312" w:hAnsi="宋体" w:hint="eastAsia"/>
          <w:b/>
          <w:bCs/>
          <w:sz w:val="28"/>
        </w:rPr>
        <w:t>污泥处理工段</w:t>
      </w:r>
    </w:p>
    <w:p w:rsidR="007E7E71" w:rsidRPr="006E6750" w:rsidRDefault="007E7E71" w:rsidP="009813F5">
      <w:pPr>
        <w:spacing w:line="360" w:lineRule="auto"/>
        <w:ind w:firstLineChars="200" w:firstLine="560"/>
        <w:rPr>
          <w:rFonts w:ascii="仿宋_GB2312" w:eastAsia="仿宋_GB2312"/>
          <w:sz w:val="28"/>
        </w:rPr>
      </w:pPr>
      <w:r w:rsidRPr="006E6750">
        <w:rPr>
          <w:rFonts w:ascii="仿宋_GB2312" w:eastAsia="仿宋_GB2312" w:hAnsi="宋体" w:hint="eastAsia"/>
          <w:sz w:val="28"/>
        </w:rPr>
        <w:t>剩余污泥是废水生物处理的副产品。如果剩余污泥得不到妥善处理，势必会对环境造成二次污染，使得环保投资没能真正发挥效益。因此，废水处理厂污泥处理工段非常重要。</w:t>
      </w:r>
    </w:p>
    <w:p w:rsidR="007E7E71" w:rsidRPr="006E6750" w:rsidRDefault="007E7E71" w:rsidP="009813F5">
      <w:pPr>
        <w:spacing w:line="360" w:lineRule="auto"/>
        <w:ind w:firstLineChars="200" w:firstLine="560"/>
        <w:rPr>
          <w:rFonts w:ascii="仿宋_GB2312" w:eastAsia="仿宋_GB2312"/>
          <w:sz w:val="28"/>
        </w:rPr>
      </w:pPr>
      <w:r w:rsidRPr="006E6750">
        <w:rPr>
          <w:rFonts w:ascii="仿宋_GB2312" w:eastAsia="仿宋_GB2312" w:hAnsi="宋体" w:hint="eastAsia"/>
          <w:sz w:val="28"/>
        </w:rPr>
        <w:t>本工程产生的污泥属有机污泥，有机物含量高，在经过浓缩脱水后，可考虑做农田有机肥。在条件不具备时需将污泥运至城市垃圾厂处理。</w:t>
      </w:r>
    </w:p>
    <w:p w:rsidR="007E7E71" w:rsidRDefault="007E7E71">
      <w:pPr>
        <w:rPr>
          <w:rFonts w:ascii="仿宋_GB2312" w:eastAsia="仿宋_GB2312" w:hAnsi="华文中宋"/>
          <w:sz w:val="32"/>
          <w:szCs w:val="32"/>
        </w:rPr>
      </w:pPr>
    </w:p>
    <w:p w:rsidR="007E7E71" w:rsidRDefault="007E7E71" w:rsidP="009813F5">
      <w:pPr>
        <w:ind w:firstLineChars="150" w:firstLine="480"/>
        <w:rPr>
          <w:rFonts w:ascii="仿宋_GB2312" w:eastAsia="仿宋_GB2312" w:hAnsi="华文中宋"/>
          <w:sz w:val="32"/>
          <w:szCs w:val="32"/>
        </w:rPr>
      </w:pPr>
      <w:r>
        <w:rPr>
          <w:rFonts w:ascii="仿宋_GB2312" w:eastAsia="仿宋_GB2312" w:hAnsi="华文中宋" w:hint="eastAsia"/>
          <w:sz w:val="32"/>
          <w:szCs w:val="32"/>
        </w:rPr>
        <w:t>（三）监测项目</w:t>
      </w:r>
    </w:p>
    <w:p w:rsidR="007E7E71" w:rsidRDefault="007E7E71" w:rsidP="009813F5">
      <w:pPr>
        <w:pStyle w:val="10"/>
        <w:ind w:firstLine="640"/>
        <w:rPr>
          <w:rFonts w:ascii="仿宋_GB2312" w:eastAsia="仿宋_GB2312"/>
          <w:sz w:val="32"/>
          <w:szCs w:val="32"/>
        </w:rPr>
      </w:pPr>
      <w:r>
        <w:rPr>
          <w:rFonts w:ascii="仿宋_GB2312" w:eastAsia="仿宋_GB2312" w:hint="eastAsia"/>
          <w:sz w:val="32"/>
          <w:szCs w:val="32"/>
        </w:rPr>
        <w:lastRenderedPageBreak/>
        <w:t>废水监测项目：</w:t>
      </w:r>
      <w:r>
        <w:rPr>
          <w:rFonts w:ascii="仿宋_GB2312" w:eastAsia="仿宋_GB2312"/>
          <w:sz w:val="32"/>
          <w:szCs w:val="32"/>
        </w:rPr>
        <w:t>pH</w:t>
      </w:r>
      <w:r>
        <w:rPr>
          <w:rFonts w:ascii="仿宋_GB2312" w:eastAsia="仿宋_GB2312" w:hint="eastAsia"/>
          <w:sz w:val="32"/>
          <w:szCs w:val="32"/>
        </w:rPr>
        <w:t>、化学需氧量、氨氮、悬浮物、生物需氧量、流量、总磷、总氮。</w:t>
      </w:r>
    </w:p>
    <w:p w:rsidR="007E7E71" w:rsidRDefault="007E7E71" w:rsidP="009813F5">
      <w:pPr>
        <w:ind w:firstLineChars="150" w:firstLine="480"/>
        <w:rPr>
          <w:rFonts w:ascii="仿宋_GB2312" w:eastAsia="仿宋_GB2312"/>
          <w:sz w:val="32"/>
          <w:szCs w:val="32"/>
        </w:rPr>
      </w:pPr>
      <w:r>
        <w:rPr>
          <w:rFonts w:ascii="仿宋_GB2312" w:eastAsia="仿宋_GB2312" w:hint="eastAsia"/>
          <w:sz w:val="32"/>
          <w:szCs w:val="32"/>
        </w:rPr>
        <w:t>（三）监测频次</w:t>
      </w:r>
    </w:p>
    <w:p w:rsidR="007E7E71" w:rsidRDefault="007E7E71" w:rsidP="009813F5">
      <w:pPr>
        <w:ind w:firstLineChars="200" w:firstLine="640"/>
        <w:rPr>
          <w:rFonts w:ascii="仿宋_GB2312" w:eastAsia="仿宋_GB2312"/>
          <w:sz w:val="32"/>
          <w:szCs w:val="32"/>
        </w:rPr>
      </w:pPr>
      <w:r>
        <w:rPr>
          <w:rFonts w:ascii="仿宋_GB2312" w:eastAsia="仿宋_GB2312" w:hint="eastAsia"/>
          <w:sz w:val="32"/>
          <w:szCs w:val="32"/>
        </w:rPr>
        <w:t>废水监测项目中化学需氧量、流量为自动监测，并对其实行实时监测，氨氮、</w:t>
      </w:r>
      <w:r>
        <w:rPr>
          <w:rFonts w:ascii="仿宋_GB2312" w:eastAsia="仿宋_GB2312"/>
          <w:sz w:val="32"/>
          <w:szCs w:val="32"/>
        </w:rPr>
        <w:t>pH</w:t>
      </w:r>
      <w:r>
        <w:rPr>
          <w:rFonts w:ascii="仿宋_GB2312" w:eastAsia="仿宋_GB2312" w:hint="eastAsia"/>
          <w:sz w:val="32"/>
          <w:szCs w:val="32"/>
        </w:rPr>
        <w:t>、悬浮物、生物需氧量、总磷、总氮为手工监测，每月</w:t>
      </w:r>
      <w:r>
        <w:rPr>
          <w:rFonts w:ascii="仿宋_GB2312" w:eastAsia="仿宋_GB2312"/>
          <w:sz w:val="32"/>
          <w:szCs w:val="32"/>
        </w:rPr>
        <w:t>1</w:t>
      </w:r>
      <w:r>
        <w:rPr>
          <w:rFonts w:ascii="仿宋_GB2312" w:eastAsia="仿宋_GB2312" w:hint="eastAsia"/>
          <w:sz w:val="32"/>
          <w:szCs w:val="32"/>
        </w:rPr>
        <w:t>次。</w:t>
      </w:r>
    </w:p>
    <w:p w:rsidR="007E7E71" w:rsidRDefault="007E7E71" w:rsidP="009813F5">
      <w:pPr>
        <w:ind w:firstLineChars="150" w:firstLine="480"/>
        <w:rPr>
          <w:rFonts w:ascii="仿宋_GB2312" w:eastAsia="仿宋_GB2312"/>
          <w:sz w:val="32"/>
          <w:szCs w:val="32"/>
        </w:rPr>
      </w:pPr>
      <w:r>
        <w:rPr>
          <w:rFonts w:ascii="仿宋_GB2312" w:eastAsia="仿宋_GB2312" w:hint="eastAsia"/>
          <w:sz w:val="32"/>
          <w:szCs w:val="32"/>
        </w:rPr>
        <w:t>（四）监测仪器和方法</w:t>
      </w:r>
    </w:p>
    <w:p w:rsidR="007E7E71" w:rsidRDefault="007E7E71" w:rsidP="009813F5">
      <w:pPr>
        <w:ind w:leftChars="300" w:left="630" w:firstLineChars="350" w:firstLine="1120"/>
        <w:rPr>
          <w:rFonts w:ascii="仿宋_GB2312" w:eastAsia="仿宋_GB2312"/>
          <w:sz w:val="32"/>
          <w:szCs w:val="32"/>
        </w:rPr>
      </w:pPr>
      <w:r>
        <w:rPr>
          <w:rFonts w:ascii="仿宋_GB2312" w:eastAsia="仿宋_GB2312" w:hint="eastAsia"/>
          <w:sz w:val="32"/>
          <w:szCs w:val="32"/>
        </w:rPr>
        <w:t>废水监测分析方法和仪器详见下表：</w:t>
      </w:r>
    </w:p>
    <w:tbl>
      <w:tblPr>
        <w:tblW w:w="8522" w:type="dxa"/>
        <w:jc w:val="center"/>
        <w:tblBorders>
          <w:top w:val="double" w:sz="4" w:space="0" w:color="auto"/>
          <w:bottom w:val="double" w:sz="4" w:space="0" w:color="auto"/>
          <w:insideH w:val="single" w:sz="6" w:space="0" w:color="000000"/>
          <w:insideV w:val="single" w:sz="6" w:space="0" w:color="000000"/>
        </w:tblBorders>
        <w:tblLayout w:type="fixed"/>
        <w:tblLook w:val="0000"/>
      </w:tblPr>
      <w:tblGrid>
        <w:gridCol w:w="696"/>
        <w:gridCol w:w="1205"/>
        <w:gridCol w:w="2996"/>
        <w:gridCol w:w="1931"/>
        <w:gridCol w:w="1694"/>
      </w:tblGrid>
      <w:tr w:rsidR="007E7E71" w:rsidTr="005B462B">
        <w:trPr>
          <w:trHeight w:val="1009"/>
          <w:jc w:val="center"/>
        </w:trPr>
        <w:tc>
          <w:tcPr>
            <w:tcW w:w="696" w:type="dxa"/>
            <w:tcBorders>
              <w:top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类别</w:t>
            </w:r>
          </w:p>
        </w:tc>
        <w:tc>
          <w:tcPr>
            <w:tcW w:w="1205" w:type="dxa"/>
            <w:tcBorders>
              <w:top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监测项目</w:t>
            </w:r>
          </w:p>
        </w:tc>
        <w:tc>
          <w:tcPr>
            <w:tcW w:w="2996" w:type="dxa"/>
            <w:tcBorders>
              <w:top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分析方法</w:t>
            </w:r>
          </w:p>
        </w:tc>
        <w:tc>
          <w:tcPr>
            <w:tcW w:w="1931" w:type="dxa"/>
            <w:tcBorders>
              <w:top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分析方法标准号</w:t>
            </w:r>
          </w:p>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或来源</w:t>
            </w:r>
          </w:p>
        </w:tc>
        <w:tc>
          <w:tcPr>
            <w:tcW w:w="1694" w:type="dxa"/>
            <w:tcBorders>
              <w:top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int="eastAsia"/>
                <w:color w:val="000000"/>
                <w:sz w:val="24"/>
                <w:szCs w:val="24"/>
              </w:rPr>
              <w:t>使用仪器</w:t>
            </w:r>
          </w:p>
        </w:tc>
      </w:tr>
      <w:tr w:rsidR="007E7E71" w:rsidTr="005B462B">
        <w:trPr>
          <w:cantSplit/>
          <w:trHeight w:val="1009"/>
          <w:jc w:val="center"/>
        </w:trPr>
        <w:tc>
          <w:tcPr>
            <w:tcW w:w="696" w:type="dxa"/>
            <w:vMerge w:val="restart"/>
            <w:vAlign w:val="center"/>
          </w:tcPr>
          <w:p w:rsidR="007E7E71" w:rsidRDefault="007E7E71" w:rsidP="009813F5">
            <w:pPr>
              <w:pStyle w:val="a8"/>
              <w:overflowPunct w:val="0"/>
              <w:topLinePunct/>
              <w:snapToGrid w:val="0"/>
              <w:spacing w:beforeLines="5" w:afterLines="5" w:line="240" w:lineRule="auto"/>
              <w:rPr>
                <w:rFonts w:ascii="仿宋_GB2312" w:eastAsia="仿宋_GB2312" w:hAnsi="宋体"/>
                <w:bCs/>
                <w:color w:val="000000"/>
                <w:sz w:val="24"/>
                <w:szCs w:val="24"/>
              </w:rPr>
            </w:pPr>
            <w:r>
              <w:rPr>
                <w:rFonts w:ascii="仿宋_GB2312" w:eastAsia="仿宋_GB2312" w:hAnsi="宋体" w:hint="eastAsia"/>
                <w:bCs/>
                <w:color w:val="000000"/>
                <w:sz w:val="24"/>
                <w:szCs w:val="24"/>
              </w:rPr>
              <w:t>废水监测（总排</w:t>
            </w:r>
            <w:r>
              <w:rPr>
                <w:rFonts w:ascii="仿宋_GB2312" w:eastAsia="仿宋_GB2312" w:hAnsi="宋体"/>
                <w:bCs/>
                <w:color w:val="000000"/>
                <w:sz w:val="24"/>
                <w:szCs w:val="24"/>
              </w:rPr>
              <w:t xml:space="preserve">    </w:t>
            </w:r>
            <w:r>
              <w:rPr>
                <w:rFonts w:ascii="仿宋_GB2312" w:eastAsia="仿宋_GB2312" w:hAnsi="宋体" w:hint="eastAsia"/>
                <w:bCs/>
                <w:color w:val="000000"/>
                <w:sz w:val="24"/>
                <w:szCs w:val="24"/>
              </w:rPr>
              <w:t>口）</w:t>
            </w:r>
          </w:p>
        </w:tc>
        <w:tc>
          <w:tcPr>
            <w:tcW w:w="1205"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NH</w:t>
            </w:r>
            <w:r>
              <w:rPr>
                <w:rFonts w:ascii="仿宋_GB2312" w:eastAsia="仿宋_GB2312"/>
                <w:color w:val="000000"/>
                <w:sz w:val="24"/>
                <w:szCs w:val="24"/>
                <w:vertAlign w:val="subscript"/>
              </w:rPr>
              <w:t>3</w:t>
            </w:r>
            <w:r>
              <w:rPr>
                <w:rFonts w:ascii="仿宋_GB2312" w:eastAsia="仿宋_GB2312"/>
                <w:color w:val="000000"/>
                <w:sz w:val="24"/>
                <w:szCs w:val="24"/>
              </w:rPr>
              <w:t>-N</w:t>
            </w:r>
          </w:p>
        </w:tc>
        <w:tc>
          <w:tcPr>
            <w:tcW w:w="2996" w:type="dxa"/>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滴定法</w:t>
            </w:r>
          </w:p>
        </w:tc>
        <w:tc>
          <w:tcPr>
            <w:tcW w:w="1931" w:type="dxa"/>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color w:val="000000"/>
                <w:sz w:val="24"/>
                <w:szCs w:val="24"/>
              </w:rPr>
              <w:t>GB7478-87</w:t>
            </w:r>
          </w:p>
        </w:tc>
        <w:tc>
          <w:tcPr>
            <w:tcW w:w="1694" w:type="dxa"/>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滴定管</w:t>
            </w:r>
          </w:p>
        </w:tc>
      </w:tr>
      <w:tr w:rsidR="007E7E71" w:rsidTr="005B462B">
        <w:trPr>
          <w:cantSplit/>
          <w:trHeight w:val="1009"/>
          <w:jc w:val="center"/>
        </w:trPr>
        <w:tc>
          <w:tcPr>
            <w:tcW w:w="696" w:type="dxa"/>
            <w:vMerge/>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bCs/>
                <w:color w:val="000000"/>
                <w:sz w:val="24"/>
                <w:szCs w:val="24"/>
              </w:rPr>
            </w:pPr>
          </w:p>
        </w:tc>
        <w:tc>
          <w:tcPr>
            <w:tcW w:w="1205" w:type="dxa"/>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color w:val="000000"/>
                <w:sz w:val="24"/>
                <w:szCs w:val="24"/>
              </w:rPr>
            </w:pPr>
            <w:r>
              <w:rPr>
                <w:rFonts w:ascii="仿宋_GB2312" w:eastAsia="仿宋_GB2312"/>
                <w:color w:val="000000"/>
                <w:sz w:val="24"/>
                <w:szCs w:val="24"/>
              </w:rPr>
              <w:t>COD</w:t>
            </w:r>
          </w:p>
        </w:tc>
        <w:tc>
          <w:tcPr>
            <w:tcW w:w="2996" w:type="dxa"/>
            <w:vAlign w:val="center"/>
          </w:tcPr>
          <w:p w:rsidR="007E7E71" w:rsidRDefault="007E7E71" w:rsidP="009813F5">
            <w:pPr>
              <w:pStyle w:val="a4"/>
              <w:overflowPunct w:val="0"/>
              <w:topLinePunct/>
              <w:snapToGrid w:val="0"/>
              <w:spacing w:beforeLines="5" w:afterLines="5" w:line="240" w:lineRule="auto"/>
              <w:jc w:val="center"/>
              <w:rPr>
                <w:rFonts w:ascii="仿宋_GB2312" w:eastAsia="仿宋_GB2312"/>
                <w:color w:val="000000"/>
                <w:sz w:val="24"/>
                <w:szCs w:val="24"/>
              </w:rPr>
            </w:pPr>
            <w:r>
              <w:rPr>
                <w:rFonts w:ascii="仿宋_GB2312" w:eastAsia="仿宋_GB2312" w:hAnsi="宋体"/>
                <w:color w:val="000000"/>
                <w:sz w:val="24"/>
                <w:szCs w:val="24"/>
              </w:rPr>
              <w:t>UV</w:t>
            </w:r>
            <w:r>
              <w:rPr>
                <w:rFonts w:ascii="仿宋_GB2312" w:eastAsia="仿宋_GB2312" w:hAnsi="宋体" w:hint="eastAsia"/>
                <w:color w:val="000000"/>
                <w:sz w:val="24"/>
                <w:szCs w:val="24"/>
              </w:rPr>
              <w:t>法（紫外吸收法）</w:t>
            </w:r>
          </w:p>
        </w:tc>
        <w:tc>
          <w:tcPr>
            <w:tcW w:w="1931"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kern w:val="2"/>
                <w:sz w:val="24"/>
                <w:szCs w:val="24"/>
              </w:rPr>
            </w:pPr>
            <w:r>
              <w:rPr>
                <w:rFonts w:ascii="仿宋_GB2312" w:eastAsia="仿宋_GB2312"/>
                <w:kern w:val="2"/>
                <w:sz w:val="24"/>
                <w:szCs w:val="24"/>
              </w:rPr>
              <w:t>HJ/T 191-2005</w:t>
            </w:r>
          </w:p>
        </w:tc>
        <w:tc>
          <w:tcPr>
            <w:tcW w:w="1694"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kern w:val="2"/>
                <w:sz w:val="24"/>
                <w:szCs w:val="24"/>
              </w:rPr>
            </w:pPr>
            <w:r>
              <w:rPr>
                <w:rFonts w:ascii="仿宋_GB2312" w:eastAsia="仿宋_GB2312"/>
                <w:kern w:val="2"/>
                <w:sz w:val="24"/>
                <w:szCs w:val="24"/>
              </w:rPr>
              <w:t>COD</w:t>
            </w:r>
            <w:r>
              <w:rPr>
                <w:rFonts w:ascii="仿宋_GB2312" w:eastAsia="仿宋_GB2312" w:hint="eastAsia"/>
                <w:kern w:val="2"/>
                <w:sz w:val="24"/>
                <w:szCs w:val="24"/>
              </w:rPr>
              <w:t>在线检测仪</w:t>
            </w:r>
          </w:p>
        </w:tc>
      </w:tr>
      <w:tr w:rsidR="007E7E71" w:rsidTr="005B462B">
        <w:trPr>
          <w:cantSplit/>
          <w:trHeight w:val="1009"/>
          <w:jc w:val="center"/>
        </w:trPr>
        <w:tc>
          <w:tcPr>
            <w:tcW w:w="696" w:type="dxa"/>
            <w:vMerge/>
            <w:vAlign w:val="center"/>
          </w:tcPr>
          <w:p w:rsidR="007E7E71" w:rsidRDefault="007E7E71" w:rsidP="009813F5">
            <w:pPr>
              <w:pStyle w:val="a8"/>
              <w:overflowPunct w:val="0"/>
              <w:topLinePunct/>
              <w:snapToGrid w:val="0"/>
              <w:spacing w:beforeLines="5" w:afterLines="5" w:line="240" w:lineRule="auto"/>
              <w:rPr>
                <w:rFonts w:ascii="仿宋_GB2312" w:eastAsia="仿宋_GB2312"/>
                <w:bCs/>
                <w:color w:val="000000"/>
                <w:sz w:val="24"/>
                <w:szCs w:val="24"/>
              </w:rPr>
            </w:pPr>
          </w:p>
        </w:tc>
        <w:tc>
          <w:tcPr>
            <w:tcW w:w="1205"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vertAlign w:val="subscript"/>
              </w:rPr>
            </w:pPr>
            <w:r>
              <w:rPr>
                <w:rFonts w:ascii="仿宋_GB2312" w:eastAsia="仿宋_GB2312"/>
                <w:color w:val="000000"/>
                <w:sz w:val="24"/>
                <w:szCs w:val="24"/>
              </w:rPr>
              <w:t>pH</w:t>
            </w:r>
          </w:p>
        </w:tc>
        <w:tc>
          <w:tcPr>
            <w:tcW w:w="2996"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玻璃电极法</w:t>
            </w:r>
          </w:p>
        </w:tc>
        <w:tc>
          <w:tcPr>
            <w:tcW w:w="1931"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sz w:val="24"/>
                <w:szCs w:val="24"/>
              </w:rPr>
            </w:pPr>
            <w:r>
              <w:rPr>
                <w:rFonts w:ascii="仿宋_GB2312" w:eastAsia="仿宋_GB2312"/>
                <w:sz w:val="24"/>
                <w:szCs w:val="24"/>
              </w:rPr>
              <w:t>GB6920</w:t>
            </w:r>
          </w:p>
        </w:tc>
        <w:tc>
          <w:tcPr>
            <w:tcW w:w="1694"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酸度计</w:t>
            </w:r>
          </w:p>
        </w:tc>
      </w:tr>
      <w:tr w:rsidR="007E7E71" w:rsidTr="005B462B">
        <w:trPr>
          <w:cantSplit/>
          <w:trHeight w:val="1009"/>
          <w:jc w:val="center"/>
        </w:trPr>
        <w:tc>
          <w:tcPr>
            <w:tcW w:w="696" w:type="dxa"/>
            <w:vMerge/>
            <w:vAlign w:val="center"/>
          </w:tcPr>
          <w:p w:rsidR="007E7E71" w:rsidRDefault="007E7E71" w:rsidP="009813F5">
            <w:pPr>
              <w:pStyle w:val="a8"/>
              <w:overflowPunct w:val="0"/>
              <w:topLinePunct/>
              <w:snapToGrid w:val="0"/>
              <w:spacing w:beforeLines="5" w:afterLines="5" w:line="240" w:lineRule="auto"/>
              <w:rPr>
                <w:rFonts w:ascii="仿宋_GB2312" w:eastAsia="仿宋_GB2312"/>
                <w:bCs/>
                <w:color w:val="000000"/>
                <w:sz w:val="24"/>
                <w:szCs w:val="24"/>
              </w:rPr>
            </w:pPr>
          </w:p>
        </w:tc>
        <w:tc>
          <w:tcPr>
            <w:tcW w:w="1205"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SS</w:t>
            </w:r>
          </w:p>
        </w:tc>
        <w:tc>
          <w:tcPr>
            <w:tcW w:w="2996"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重量法</w:t>
            </w:r>
          </w:p>
        </w:tc>
        <w:tc>
          <w:tcPr>
            <w:tcW w:w="1931"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GB11901-89</w:t>
            </w:r>
          </w:p>
        </w:tc>
        <w:tc>
          <w:tcPr>
            <w:tcW w:w="1694"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干燥箱</w:t>
            </w:r>
          </w:p>
        </w:tc>
      </w:tr>
      <w:tr w:rsidR="007E7E71" w:rsidTr="005B462B">
        <w:trPr>
          <w:cantSplit/>
          <w:trHeight w:val="1009"/>
          <w:jc w:val="center"/>
        </w:trPr>
        <w:tc>
          <w:tcPr>
            <w:tcW w:w="696" w:type="dxa"/>
            <w:vMerge/>
            <w:vAlign w:val="center"/>
          </w:tcPr>
          <w:p w:rsidR="007E7E71" w:rsidRDefault="007E7E71" w:rsidP="009813F5">
            <w:pPr>
              <w:spacing w:beforeLines="5" w:afterLines="5"/>
              <w:jc w:val="center"/>
              <w:rPr>
                <w:rFonts w:ascii="仿宋_GB2312" w:eastAsia="仿宋_GB2312"/>
                <w:color w:val="000000"/>
                <w:sz w:val="24"/>
              </w:rPr>
            </w:pPr>
          </w:p>
        </w:tc>
        <w:tc>
          <w:tcPr>
            <w:tcW w:w="1205"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生物需氧量</w:t>
            </w:r>
          </w:p>
        </w:tc>
        <w:tc>
          <w:tcPr>
            <w:tcW w:w="2996"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生物电极法</w:t>
            </w:r>
          </w:p>
        </w:tc>
        <w:tc>
          <w:tcPr>
            <w:tcW w:w="1931"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GB/T16488-1996</w:t>
            </w:r>
          </w:p>
        </w:tc>
        <w:tc>
          <w:tcPr>
            <w:tcW w:w="1694"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BOD</w:t>
            </w:r>
            <w:r>
              <w:rPr>
                <w:rFonts w:ascii="仿宋_GB2312" w:eastAsia="仿宋_GB2312" w:hint="eastAsia"/>
                <w:color w:val="000000"/>
                <w:sz w:val="24"/>
                <w:szCs w:val="24"/>
              </w:rPr>
              <w:t>生物传感器</w:t>
            </w:r>
          </w:p>
        </w:tc>
      </w:tr>
      <w:tr w:rsidR="007E7E71" w:rsidTr="007A6E13">
        <w:trPr>
          <w:cantSplit/>
          <w:trHeight w:val="1009"/>
          <w:jc w:val="center"/>
        </w:trPr>
        <w:tc>
          <w:tcPr>
            <w:tcW w:w="696" w:type="dxa"/>
            <w:vMerge/>
            <w:vAlign w:val="center"/>
          </w:tcPr>
          <w:p w:rsidR="007E7E71" w:rsidRDefault="007E7E71" w:rsidP="009813F5">
            <w:pPr>
              <w:spacing w:beforeLines="5" w:afterLines="5"/>
              <w:jc w:val="center"/>
              <w:rPr>
                <w:rFonts w:ascii="仿宋_GB2312" w:eastAsia="仿宋_GB2312"/>
                <w:color w:val="000000"/>
                <w:sz w:val="24"/>
              </w:rPr>
            </w:pPr>
          </w:p>
        </w:tc>
        <w:tc>
          <w:tcPr>
            <w:tcW w:w="1205"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hAnsi="宋体"/>
                <w:sz w:val="24"/>
                <w:szCs w:val="24"/>
              </w:rPr>
            </w:pPr>
            <w:r>
              <w:rPr>
                <w:rFonts w:ascii="仿宋_GB2312" w:eastAsia="仿宋_GB2312" w:hAnsi="宋体" w:hint="eastAsia"/>
                <w:sz w:val="24"/>
                <w:szCs w:val="24"/>
              </w:rPr>
              <w:t>流量</w:t>
            </w:r>
          </w:p>
        </w:tc>
        <w:tc>
          <w:tcPr>
            <w:tcW w:w="2996"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sz w:val="24"/>
                <w:szCs w:val="24"/>
              </w:rPr>
            </w:pPr>
            <w:r>
              <w:rPr>
                <w:rFonts w:ascii="仿宋_GB2312" w:eastAsia="仿宋_GB2312" w:hint="eastAsia"/>
                <w:sz w:val="24"/>
                <w:szCs w:val="24"/>
              </w:rPr>
              <w:t>超声波法</w:t>
            </w:r>
          </w:p>
        </w:tc>
        <w:tc>
          <w:tcPr>
            <w:tcW w:w="1931"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sz w:val="24"/>
                <w:szCs w:val="24"/>
              </w:rPr>
            </w:pPr>
            <w:r>
              <w:rPr>
                <w:rFonts w:ascii="仿宋_GB2312" w:eastAsia="仿宋_GB2312"/>
                <w:sz w:val="24"/>
                <w:szCs w:val="24"/>
              </w:rPr>
              <w:t>HJ/T15-1996</w:t>
            </w:r>
            <w:bookmarkStart w:id="0" w:name="_GoBack"/>
            <w:bookmarkEnd w:id="0"/>
          </w:p>
        </w:tc>
        <w:tc>
          <w:tcPr>
            <w:tcW w:w="1694"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超声波明渠流量计</w:t>
            </w:r>
          </w:p>
        </w:tc>
      </w:tr>
      <w:tr w:rsidR="007E7E71" w:rsidTr="007A6E13">
        <w:trPr>
          <w:cantSplit/>
          <w:trHeight w:val="1009"/>
          <w:jc w:val="center"/>
        </w:trPr>
        <w:tc>
          <w:tcPr>
            <w:tcW w:w="696" w:type="dxa"/>
            <w:vAlign w:val="center"/>
          </w:tcPr>
          <w:p w:rsidR="007E7E71" w:rsidRDefault="007E7E71" w:rsidP="009813F5">
            <w:pPr>
              <w:spacing w:beforeLines="5" w:afterLines="5"/>
              <w:jc w:val="center"/>
              <w:rPr>
                <w:rFonts w:ascii="仿宋_GB2312" w:eastAsia="仿宋_GB2312"/>
                <w:color w:val="000000"/>
                <w:sz w:val="24"/>
              </w:rPr>
            </w:pPr>
          </w:p>
        </w:tc>
        <w:tc>
          <w:tcPr>
            <w:tcW w:w="1205"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hAnsi="宋体"/>
                <w:sz w:val="24"/>
                <w:szCs w:val="24"/>
              </w:rPr>
            </w:pPr>
            <w:r>
              <w:rPr>
                <w:rFonts w:ascii="仿宋_GB2312" w:eastAsia="仿宋_GB2312" w:hAnsi="宋体" w:hint="eastAsia"/>
                <w:sz w:val="24"/>
                <w:szCs w:val="24"/>
              </w:rPr>
              <w:t>总磷</w:t>
            </w:r>
          </w:p>
        </w:tc>
        <w:tc>
          <w:tcPr>
            <w:tcW w:w="2996"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sz w:val="24"/>
                <w:szCs w:val="24"/>
              </w:rPr>
            </w:pPr>
            <w:proofErr w:type="gramStart"/>
            <w:r w:rsidRPr="007A6E13">
              <w:rPr>
                <w:rFonts w:ascii="仿宋_GB2312" w:eastAsia="仿宋_GB2312" w:hint="eastAsia"/>
                <w:sz w:val="24"/>
                <w:szCs w:val="24"/>
              </w:rPr>
              <w:t>钼锑抗</w:t>
            </w:r>
            <w:proofErr w:type="gramEnd"/>
            <w:r w:rsidRPr="007A6E13">
              <w:rPr>
                <w:rFonts w:ascii="仿宋_GB2312" w:eastAsia="仿宋_GB2312" w:hint="eastAsia"/>
                <w:sz w:val="24"/>
                <w:szCs w:val="24"/>
              </w:rPr>
              <w:t>分光光度法测定</w:t>
            </w:r>
          </w:p>
        </w:tc>
        <w:tc>
          <w:tcPr>
            <w:tcW w:w="1931" w:type="dxa"/>
            <w:vAlign w:val="center"/>
          </w:tcPr>
          <w:p w:rsidR="007E7E71" w:rsidRDefault="007E7E71" w:rsidP="009813F5">
            <w:pPr>
              <w:pStyle w:val="a8"/>
              <w:overflowPunct w:val="0"/>
              <w:topLinePunct/>
              <w:snapToGrid w:val="0"/>
              <w:spacing w:beforeLines="20" w:afterLines="20" w:line="240" w:lineRule="auto"/>
              <w:rPr>
                <w:rFonts w:ascii="仿宋_GB2312" w:eastAsia="仿宋_GB2312"/>
                <w:sz w:val="24"/>
                <w:szCs w:val="24"/>
              </w:rPr>
            </w:pPr>
            <w:r>
              <w:rPr>
                <w:rFonts w:ascii="仿宋_GB2312" w:eastAsia="仿宋_GB2312" w:hint="eastAsia"/>
                <w:sz w:val="24"/>
                <w:szCs w:val="24"/>
              </w:rPr>
              <w:t>国标</w:t>
            </w:r>
          </w:p>
        </w:tc>
        <w:tc>
          <w:tcPr>
            <w:tcW w:w="1694" w:type="dxa"/>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分光光度仪</w:t>
            </w:r>
          </w:p>
        </w:tc>
      </w:tr>
      <w:tr w:rsidR="007E7E71" w:rsidTr="005B462B">
        <w:trPr>
          <w:cantSplit/>
          <w:trHeight w:val="1009"/>
          <w:jc w:val="center"/>
        </w:trPr>
        <w:tc>
          <w:tcPr>
            <w:tcW w:w="696" w:type="dxa"/>
            <w:tcBorders>
              <w:bottom w:val="double" w:sz="4" w:space="0" w:color="auto"/>
            </w:tcBorders>
            <w:vAlign w:val="center"/>
          </w:tcPr>
          <w:p w:rsidR="007E7E71" w:rsidRDefault="007E7E71" w:rsidP="009813F5">
            <w:pPr>
              <w:spacing w:beforeLines="5" w:afterLines="5"/>
              <w:jc w:val="center"/>
              <w:rPr>
                <w:rFonts w:ascii="仿宋_GB2312" w:eastAsia="仿宋_GB2312"/>
                <w:color w:val="000000"/>
                <w:sz w:val="24"/>
              </w:rPr>
            </w:pPr>
          </w:p>
        </w:tc>
        <w:tc>
          <w:tcPr>
            <w:tcW w:w="1205" w:type="dxa"/>
            <w:tcBorders>
              <w:bottom w:val="double" w:sz="4" w:space="0" w:color="auto"/>
            </w:tcBorders>
            <w:vAlign w:val="center"/>
          </w:tcPr>
          <w:p w:rsidR="007E7E71" w:rsidRDefault="007E7E71" w:rsidP="009813F5">
            <w:pPr>
              <w:pStyle w:val="a8"/>
              <w:overflowPunct w:val="0"/>
              <w:topLinePunct/>
              <w:snapToGrid w:val="0"/>
              <w:spacing w:beforeLines="20" w:afterLines="20" w:line="240" w:lineRule="auto"/>
              <w:rPr>
                <w:rFonts w:ascii="仿宋_GB2312" w:eastAsia="仿宋_GB2312" w:hAnsi="宋体"/>
                <w:sz w:val="24"/>
                <w:szCs w:val="24"/>
              </w:rPr>
            </w:pPr>
            <w:r>
              <w:rPr>
                <w:rFonts w:ascii="仿宋_GB2312" w:eastAsia="仿宋_GB2312" w:hAnsi="宋体" w:hint="eastAsia"/>
                <w:sz w:val="24"/>
                <w:szCs w:val="24"/>
              </w:rPr>
              <w:t>总氮</w:t>
            </w:r>
          </w:p>
        </w:tc>
        <w:tc>
          <w:tcPr>
            <w:tcW w:w="2996" w:type="dxa"/>
            <w:tcBorders>
              <w:bottom w:val="double" w:sz="4" w:space="0" w:color="auto"/>
            </w:tcBorders>
            <w:vAlign w:val="center"/>
          </w:tcPr>
          <w:p w:rsidR="007E7E71" w:rsidRPr="007A6E13" w:rsidRDefault="007E7E71" w:rsidP="009813F5">
            <w:pPr>
              <w:pStyle w:val="a8"/>
              <w:overflowPunct w:val="0"/>
              <w:topLinePunct/>
              <w:snapToGrid w:val="0"/>
              <w:spacing w:beforeLines="20" w:afterLines="20" w:line="240" w:lineRule="auto"/>
              <w:rPr>
                <w:rFonts w:ascii="仿宋_GB2312" w:eastAsia="仿宋_GB2312"/>
                <w:sz w:val="24"/>
                <w:szCs w:val="24"/>
              </w:rPr>
            </w:pPr>
            <w:r w:rsidRPr="007A6E13">
              <w:rPr>
                <w:rFonts w:ascii="仿宋_GB2312" w:eastAsia="仿宋_GB2312" w:hint="eastAsia"/>
                <w:sz w:val="24"/>
                <w:szCs w:val="24"/>
              </w:rPr>
              <w:t>碱性过硫酸钾消解</w:t>
            </w:r>
            <w:r w:rsidRPr="007A6E13">
              <w:rPr>
                <w:rFonts w:ascii="仿宋_GB2312" w:eastAsia="仿宋_GB2312"/>
                <w:sz w:val="24"/>
                <w:szCs w:val="24"/>
              </w:rPr>
              <w:t>-</w:t>
            </w:r>
            <w:r w:rsidRPr="007A6E13">
              <w:rPr>
                <w:rFonts w:ascii="仿宋_GB2312" w:eastAsia="仿宋_GB2312" w:hint="eastAsia"/>
                <w:sz w:val="24"/>
                <w:szCs w:val="24"/>
              </w:rPr>
              <w:t>紫外分光光度法</w:t>
            </w:r>
          </w:p>
        </w:tc>
        <w:tc>
          <w:tcPr>
            <w:tcW w:w="1931" w:type="dxa"/>
            <w:tcBorders>
              <w:bottom w:val="double" w:sz="4" w:space="0" w:color="auto"/>
            </w:tcBorders>
            <w:vAlign w:val="center"/>
          </w:tcPr>
          <w:p w:rsidR="007E7E71" w:rsidRPr="007A6E13" w:rsidRDefault="007E7E71" w:rsidP="009813F5">
            <w:pPr>
              <w:pStyle w:val="a8"/>
              <w:overflowPunct w:val="0"/>
              <w:topLinePunct/>
              <w:snapToGrid w:val="0"/>
              <w:spacing w:beforeLines="20" w:afterLines="20" w:line="240" w:lineRule="auto"/>
              <w:rPr>
                <w:rFonts w:ascii="仿宋_GB2312" w:eastAsia="仿宋_GB2312"/>
                <w:sz w:val="24"/>
                <w:szCs w:val="24"/>
              </w:rPr>
            </w:pPr>
            <w:r w:rsidRPr="007A6E13">
              <w:rPr>
                <w:rFonts w:ascii="仿宋_GB2312" w:eastAsia="仿宋_GB2312" w:hint="eastAsia"/>
                <w:sz w:val="24"/>
                <w:szCs w:val="24"/>
              </w:rPr>
              <w:t>国家标准测定方法</w:t>
            </w:r>
          </w:p>
        </w:tc>
        <w:tc>
          <w:tcPr>
            <w:tcW w:w="1694" w:type="dxa"/>
            <w:tcBorders>
              <w:bottom w:val="double" w:sz="4" w:space="0" w:color="auto"/>
            </w:tcBorders>
            <w:vAlign w:val="center"/>
          </w:tcPr>
          <w:p w:rsidR="007E7E71" w:rsidRDefault="007E7E71" w:rsidP="009813F5">
            <w:pPr>
              <w:pStyle w:val="a8"/>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分光光度仪</w:t>
            </w:r>
          </w:p>
        </w:tc>
      </w:tr>
    </w:tbl>
    <w:p w:rsidR="007E7E71" w:rsidRDefault="007E7E71">
      <w:pPr>
        <w:pStyle w:val="10"/>
        <w:numPr>
          <w:ilvl w:val="0"/>
          <w:numId w:val="1"/>
        </w:numPr>
        <w:ind w:firstLineChars="0"/>
        <w:rPr>
          <w:rFonts w:ascii="仿宋_GB2312" w:eastAsia="仿宋_GB2312"/>
          <w:sz w:val="32"/>
          <w:szCs w:val="32"/>
        </w:rPr>
      </w:pPr>
      <w:r>
        <w:rPr>
          <w:rFonts w:ascii="仿宋_GB2312" w:eastAsia="仿宋_GB2312" w:hint="eastAsia"/>
          <w:sz w:val="32"/>
          <w:szCs w:val="32"/>
        </w:rPr>
        <w:t>执行标准</w:t>
      </w:r>
    </w:p>
    <w:p w:rsidR="007E7E71" w:rsidRDefault="007E7E71" w:rsidP="009813F5">
      <w:pPr>
        <w:ind w:firstLineChars="200" w:firstLine="640"/>
        <w:rPr>
          <w:rFonts w:ascii="仿宋_GB2312" w:eastAsia="仿宋_GB2312"/>
          <w:sz w:val="32"/>
          <w:szCs w:val="32"/>
        </w:rPr>
      </w:pPr>
      <w:r>
        <w:rPr>
          <w:rFonts w:ascii="仿宋_GB2312" w:eastAsia="仿宋_GB2312" w:hint="eastAsia"/>
          <w:sz w:val="32"/>
          <w:szCs w:val="32"/>
        </w:rPr>
        <w:t>废水执行标准为：《农田灌溉水质标准》（</w:t>
      </w:r>
      <w:r>
        <w:rPr>
          <w:rFonts w:ascii="仿宋_GB2312" w:eastAsia="仿宋_GB2312"/>
          <w:sz w:val="32"/>
          <w:szCs w:val="32"/>
        </w:rPr>
        <w:t>GB5084-2005</w:t>
      </w:r>
      <w:r>
        <w:rPr>
          <w:rFonts w:ascii="仿宋_GB2312" w:eastAsia="仿宋_GB2312" w:hint="eastAsia"/>
          <w:sz w:val="32"/>
          <w:szCs w:val="32"/>
        </w:rPr>
        <w:t>）旱作水质标准。</w:t>
      </w:r>
    </w:p>
    <w:p w:rsidR="007E7E71" w:rsidRDefault="007E7E71">
      <w:pPr>
        <w:pStyle w:val="10"/>
        <w:ind w:left="720" w:firstLineChars="0" w:firstLine="0"/>
        <w:jc w:val="center"/>
        <w:rPr>
          <w:rFonts w:ascii="仿宋_GB2312" w:eastAsia="仿宋_GB2312"/>
          <w:sz w:val="32"/>
          <w:szCs w:val="32"/>
        </w:rPr>
      </w:pPr>
      <w:r>
        <w:rPr>
          <w:rFonts w:ascii="仿宋_GB2312" w:eastAsia="仿宋_GB2312" w:hint="eastAsia"/>
          <w:sz w:val="32"/>
          <w:szCs w:val="32"/>
        </w:rPr>
        <w:t>表</w:t>
      </w:r>
      <w:r>
        <w:rPr>
          <w:rFonts w:ascii="仿宋_GB2312" w:eastAsia="仿宋_GB2312"/>
          <w:sz w:val="32"/>
          <w:szCs w:val="32"/>
        </w:rPr>
        <w:t>1</w:t>
      </w:r>
      <w:r>
        <w:rPr>
          <w:rFonts w:ascii="仿宋_GB2312" w:eastAsia="仿宋_GB2312" w:hint="eastAsia"/>
          <w:sz w:val="32"/>
          <w:szCs w:val="32"/>
        </w:rPr>
        <w:t>直接排放水污染物排放浓度</w:t>
      </w:r>
      <w:r>
        <w:rPr>
          <w:rFonts w:ascii="仿宋_GB2312" w:eastAsia="仿宋_GB2312"/>
          <w:sz w:val="32"/>
          <w:szCs w:val="32"/>
        </w:rPr>
        <w:t xml:space="preserve"> </w:t>
      </w:r>
      <w:r>
        <w:rPr>
          <w:rFonts w:ascii="仿宋_GB2312" w:eastAsia="仿宋_GB2312" w:hint="eastAsia"/>
          <w:sz w:val="32"/>
          <w:szCs w:val="32"/>
        </w:rPr>
        <w:t>单位</w:t>
      </w:r>
      <w:r>
        <w:rPr>
          <w:rFonts w:ascii="仿宋_GB2312" w:eastAsia="仿宋_GB2312"/>
          <w:sz w:val="32"/>
          <w:szCs w:val="32"/>
        </w:rPr>
        <w:t>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22"/>
        <w:gridCol w:w="2473"/>
        <w:gridCol w:w="3627"/>
      </w:tblGrid>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hint="eastAsia"/>
                <w:sz w:val="24"/>
              </w:rPr>
              <w:t>序号</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污染物</w:t>
            </w:r>
          </w:p>
        </w:tc>
        <w:tc>
          <w:tcPr>
            <w:tcW w:w="2128" w:type="pct"/>
            <w:tcBorders>
              <w:right w:val="nil"/>
            </w:tcBorders>
          </w:tcPr>
          <w:p w:rsidR="007E7E71" w:rsidRDefault="007E7E71">
            <w:pPr>
              <w:pStyle w:val="10"/>
              <w:ind w:firstLineChars="0" w:firstLine="0"/>
              <w:rPr>
                <w:rFonts w:ascii="仿宋_GB2312" w:eastAsia="仿宋_GB2312"/>
                <w:b/>
                <w:sz w:val="24"/>
              </w:rPr>
            </w:pPr>
            <w:r>
              <w:rPr>
                <w:rFonts w:ascii="仿宋_GB2312" w:eastAsia="仿宋_GB2312" w:hint="eastAsia"/>
                <w:sz w:val="24"/>
              </w:rPr>
              <w:t>标准限值</w:t>
            </w:r>
          </w:p>
        </w:tc>
      </w:tr>
      <w:tr w:rsidR="007E7E71" w:rsidTr="003A2BF8">
        <w:trPr>
          <w:trHeight w:val="397"/>
        </w:trPr>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1</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sz w:val="24"/>
              </w:rPr>
              <w:t>PH</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6</w:t>
            </w:r>
            <w:r>
              <w:rPr>
                <w:rFonts w:ascii="仿宋_GB2312" w:eastAsia="仿宋_GB2312"/>
                <w:sz w:val="24"/>
              </w:rPr>
              <w:t>—</w:t>
            </w:r>
            <w:r>
              <w:rPr>
                <w:rFonts w:ascii="仿宋_GB2312" w:eastAsia="仿宋_GB2312"/>
                <w:sz w:val="24"/>
              </w:rPr>
              <w:t>9</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2</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氨氮</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25</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3</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化学需氧量</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150</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4</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悬浮物</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100</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5</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生物需氧量</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60</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6</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总磷</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5.0</w:t>
            </w:r>
          </w:p>
        </w:tc>
      </w:tr>
      <w:tr w:rsidR="007E7E71" w:rsidTr="005B462B">
        <w:tc>
          <w:tcPr>
            <w:tcW w:w="1421" w:type="pct"/>
            <w:tcBorders>
              <w:left w:val="nil"/>
            </w:tcBorders>
          </w:tcPr>
          <w:p w:rsidR="007E7E71" w:rsidRDefault="007E7E71">
            <w:pPr>
              <w:pStyle w:val="10"/>
              <w:ind w:firstLineChars="0" w:firstLine="0"/>
              <w:rPr>
                <w:rFonts w:ascii="仿宋_GB2312" w:eastAsia="仿宋_GB2312"/>
                <w:sz w:val="24"/>
              </w:rPr>
            </w:pPr>
            <w:r>
              <w:rPr>
                <w:rFonts w:ascii="仿宋_GB2312" w:eastAsia="仿宋_GB2312"/>
                <w:sz w:val="24"/>
              </w:rPr>
              <w:t>7</w:t>
            </w:r>
          </w:p>
        </w:tc>
        <w:tc>
          <w:tcPr>
            <w:tcW w:w="1451" w:type="pct"/>
          </w:tcPr>
          <w:p w:rsidR="007E7E71" w:rsidRDefault="007E7E71">
            <w:pPr>
              <w:pStyle w:val="10"/>
              <w:ind w:firstLineChars="0" w:firstLine="0"/>
              <w:rPr>
                <w:rFonts w:ascii="仿宋_GB2312" w:eastAsia="仿宋_GB2312"/>
                <w:sz w:val="24"/>
              </w:rPr>
            </w:pPr>
            <w:r>
              <w:rPr>
                <w:rFonts w:ascii="仿宋_GB2312" w:eastAsia="仿宋_GB2312" w:hint="eastAsia"/>
                <w:sz w:val="24"/>
              </w:rPr>
              <w:t>总氮</w:t>
            </w:r>
          </w:p>
        </w:tc>
        <w:tc>
          <w:tcPr>
            <w:tcW w:w="2128" w:type="pct"/>
            <w:tcBorders>
              <w:right w:val="nil"/>
            </w:tcBorders>
          </w:tcPr>
          <w:p w:rsidR="007E7E71" w:rsidRDefault="007E7E71">
            <w:pPr>
              <w:pStyle w:val="10"/>
              <w:ind w:firstLineChars="0" w:firstLine="0"/>
              <w:rPr>
                <w:rFonts w:ascii="仿宋_GB2312" w:eastAsia="仿宋_GB2312"/>
                <w:sz w:val="24"/>
              </w:rPr>
            </w:pPr>
            <w:r>
              <w:rPr>
                <w:rFonts w:ascii="仿宋_GB2312" w:eastAsia="仿宋_GB2312"/>
                <w:sz w:val="24"/>
              </w:rPr>
              <w:t>15</w:t>
            </w:r>
          </w:p>
        </w:tc>
      </w:tr>
    </w:tbl>
    <w:p w:rsidR="007E7E71" w:rsidRDefault="007E7E71" w:rsidP="009813F5">
      <w:pPr>
        <w:widowControl/>
        <w:spacing w:line="560" w:lineRule="exact"/>
        <w:ind w:firstLineChars="200" w:firstLine="640"/>
        <w:jc w:val="center"/>
        <w:rPr>
          <w:rFonts w:ascii="仿宋_GB2312" w:eastAsia="仿宋_GB2312"/>
          <w:sz w:val="32"/>
          <w:szCs w:val="32"/>
        </w:rPr>
      </w:pPr>
      <w:r>
        <w:rPr>
          <w:rFonts w:ascii="仿宋_GB2312" w:eastAsia="仿宋_GB2312"/>
          <w:sz w:val="32"/>
          <w:szCs w:val="32"/>
        </w:rPr>
        <w:t xml:space="preserve">    </w:t>
      </w:r>
    </w:p>
    <w:p w:rsidR="007E7E71" w:rsidRDefault="007E7E71" w:rsidP="009813F5">
      <w:pPr>
        <w:widowControl/>
        <w:spacing w:line="560" w:lineRule="exact"/>
        <w:ind w:firstLineChars="200" w:firstLine="640"/>
        <w:jc w:val="center"/>
        <w:rPr>
          <w:rFonts w:ascii="仿宋_GB2312" w:eastAsia="仿宋_GB2312"/>
          <w:sz w:val="32"/>
          <w:szCs w:val="32"/>
        </w:rPr>
      </w:pPr>
    </w:p>
    <w:p w:rsidR="007E7E71" w:rsidRDefault="007E7E71" w:rsidP="009813F5">
      <w:pPr>
        <w:widowControl/>
        <w:spacing w:line="560" w:lineRule="exact"/>
        <w:ind w:firstLineChars="200" w:firstLine="640"/>
        <w:jc w:val="center"/>
        <w:rPr>
          <w:rFonts w:ascii="仿宋_GB2312" w:eastAsia="仿宋_GB2312"/>
          <w:sz w:val="32"/>
          <w:szCs w:val="32"/>
        </w:rPr>
      </w:pPr>
    </w:p>
    <w:p w:rsidR="007E7E71" w:rsidRDefault="007E7E71" w:rsidP="009813F5">
      <w:pPr>
        <w:widowControl/>
        <w:spacing w:line="560" w:lineRule="exact"/>
        <w:ind w:firstLineChars="200" w:firstLine="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黑龙江北大荒马铃薯产业有限公司</w:t>
      </w:r>
    </w:p>
    <w:p w:rsidR="007E7E71" w:rsidRDefault="007E7E71" w:rsidP="009813F5">
      <w:pPr>
        <w:widowControl/>
        <w:spacing w:line="560" w:lineRule="exact"/>
        <w:ind w:firstLineChars="200" w:firstLine="640"/>
        <w:jc w:val="center"/>
        <w:rPr>
          <w:rFonts w:ascii="仿宋_GB2312" w:eastAsia="仿宋_GB2312"/>
          <w:b/>
          <w:sz w:val="36"/>
          <w:szCs w:val="36"/>
        </w:rPr>
      </w:pPr>
      <w:r>
        <w:rPr>
          <w:rFonts w:ascii="仿宋_GB2312" w:eastAsia="仿宋_GB2312"/>
          <w:sz w:val="32"/>
          <w:szCs w:val="32"/>
        </w:rPr>
        <w:t xml:space="preserve">  2015</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p>
    <w:p w:rsidR="007E7E71" w:rsidRDefault="007E7E71" w:rsidP="009813F5">
      <w:pPr>
        <w:ind w:firstLineChars="50" w:firstLine="180"/>
        <w:rPr>
          <w:rFonts w:ascii="仿宋_GB2312" w:eastAsia="仿宋_GB2312"/>
          <w:sz w:val="36"/>
          <w:szCs w:val="36"/>
        </w:rPr>
      </w:pPr>
    </w:p>
    <w:p w:rsidR="007E7E71" w:rsidRDefault="007E7E71">
      <w:pPr>
        <w:rPr>
          <w:rFonts w:ascii="仿宋_GB2312" w:eastAsia="仿宋_GB2312" w:hAnsi="华文中宋"/>
          <w:sz w:val="36"/>
          <w:szCs w:val="36"/>
        </w:rPr>
      </w:pPr>
    </w:p>
    <w:p w:rsidR="007E7E71" w:rsidRPr="006E6750" w:rsidRDefault="007E7E71">
      <w:pPr>
        <w:rPr>
          <w:rFonts w:ascii="仿宋_GB2312" w:eastAsia="仿宋_GB2312" w:hAnsi="华文中宋"/>
          <w:sz w:val="36"/>
          <w:szCs w:val="36"/>
        </w:rPr>
      </w:pPr>
    </w:p>
    <w:sectPr w:rsidR="007E7E71" w:rsidRPr="006E6750" w:rsidSect="00E004B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5C" w:rsidRDefault="008C745C" w:rsidP="00CE38DC">
      <w:r>
        <w:separator/>
      </w:r>
    </w:p>
  </w:endnote>
  <w:endnote w:type="continuationSeparator" w:id="0">
    <w:p w:rsidR="008C745C" w:rsidRDefault="008C745C" w:rsidP="00CE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notTrueType/>
    <w:pitch w:val="default"/>
    <w:sig w:usb0="00000287" w:usb1="080E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5C" w:rsidRDefault="008C745C" w:rsidP="00CE38DC">
      <w:r>
        <w:separator/>
      </w:r>
    </w:p>
  </w:footnote>
  <w:footnote w:type="continuationSeparator" w:id="0">
    <w:p w:rsidR="008C745C" w:rsidRDefault="008C745C" w:rsidP="00CE3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5E73C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FFA2F2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9D47B2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5C6A6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F6EC2A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DCAF61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93A43D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0C4390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6704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22CD20"/>
    <w:lvl w:ilvl="0">
      <w:start w:val="1"/>
      <w:numFmt w:val="bullet"/>
      <w:lvlText w:val=""/>
      <w:lvlJc w:val="left"/>
      <w:pPr>
        <w:tabs>
          <w:tab w:val="num" w:pos="360"/>
        </w:tabs>
        <w:ind w:left="360" w:hanging="360"/>
      </w:pPr>
      <w:rPr>
        <w:rFonts w:ascii="Wingdings" w:hAnsi="Wingdings" w:hint="default"/>
      </w:rPr>
    </w:lvl>
  </w:abstractNum>
  <w:abstractNum w:abstractNumId="10">
    <w:nsid w:val="704C57F1"/>
    <w:multiLevelType w:val="multilevel"/>
    <w:tmpl w:val="704C57F1"/>
    <w:lvl w:ilvl="0">
      <w:start w:val="4"/>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B3"/>
    <w:rsid w:val="00037B03"/>
    <w:rsid w:val="000F50FF"/>
    <w:rsid w:val="001470C3"/>
    <w:rsid w:val="00210A42"/>
    <w:rsid w:val="00226462"/>
    <w:rsid w:val="00242EA6"/>
    <w:rsid w:val="00245885"/>
    <w:rsid w:val="0031464D"/>
    <w:rsid w:val="003A2BF8"/>
    <w:rsid w:val="00427E7E"/>
    <w:rsid w:val="004821F7"/>
    <w:rsid w:val="00517F9A"/>
    <w:rsid w:val="005B462B"/>
    <w:rsid w:val="006E6750"/>
    <w:rsid w:val="007667F1"/>
    <w:rsid w:val="007A6E13"/>
    <w:rsid w:val="007E7E71"/>
    <w:rsid w:val="007F3427"/>
    <w:rsid w:val="008C745C"/>
    <w:rsid w:val="009813F5"/>
    <w:rsid w:val="009D20D3"/>
    <w:rsid w:val="00AA41E3"/>
    <w:rsid w:val="00AC0B39"/>
    <w:rsid w:val="00C2343F"/>
    <w:rsid w:val="00CE38DC"/>
    <w:rsid w:val="00DA386C"/>
    <w:rsid w:val="00E004B3"/>
    <w:rsid w:val="00E062E5"/>
    <w:rsid w:val="00E74E1B"/>
    <w:rsid w:val="00E820E2"/>
    <w:rsid w:val="00ED7536"/>
    <w:rsid w:val="00F52AE4"/>
    <w:rsid w:val="00FB1C9D"/>
    <w:rsid w:val="00FC173C"/>
    <w:rsid w:val="00FC3E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4B3"/>
    <w:pPr>
      <w:widowControl w:val="0"/>
      <w:jc w:val="both"/>
    </w:pPr>
    <w:rPr>
      <w:kern w:val="2"/>
      <w:sz w:val="21"/>
      <w:szCs w:val="24"/>
    </w:rPr>
  </w:style>
  <w:style w:type="paragraph" w:styleId="1">
    <w:name w:val="heading 1"/>
    <w:basedOn w:val="a"/>
    <w:next w:val="a"/>
    <w:link w:val="1Char"/>
    <w:uiPriority w:val="99"/>
    <w:qFormat/>
    <w:rsid w:val="00E004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004B3"/>
    <w:rPr>
      <w:rFonts w:ascii="Times New Roman" w:eastAsia="宋体" w:hAnsi="Times New Roman" w:cs="Times New Roman"/>
      <w:b/>
      <w:bCs/>
      <w:kern w:val="44"/>
      <w:sz w:val="44"/>
      <w:szCs w:val="44"/>
    </w:rPr>
  </w:style>
  <w:style w:type="paragraph" w:styleId="a3">
    <w:name w:val="Plain Text"/>
    <w:basedOn w:val="a"/>
    <w:link w:val="Char"/>
    <w:uiPriority w:val="99"/>
    <w:rsid w:val="00E004B3"/>
    <w:rPr>
      <w:rFonts w:ascii="宋体" w:hAnsi="Courier New" w:cs="Courier New"/>
      <w:szCs w:val="21"/>
    </w:rPr>
  </w:style>
  <w:style w:type="character" w:customStyle="1" w:styleId="Char">
    <w:name w:val="纯文本 Char"/>
    <w:basedOn w:val="a0"/>
    <w:link w:val="a3"/>
    <w:uiPriority w:val="99"/>
    <w:locked/>
    <w:rsid w:val="00E004B3"/>
    <w:rPr>
      <w:rFonts w:ascii="宋体" w:eastAsia="宋体" w:hAnsi="Courier New" w:cs="Courier New"/>
      <w:sz w:val="21"/>
      <w:szCs w:val="21"/>
    </w:rPr>
  </w:style>
  <w:style w:type="paragraph" w:styleId="a4">
    <w:name w:val="Date"/>
    <w:basedOn w:val="a"/>
    <w:next w:val="a"/>
    <w:link w:val="Char0"/>
    <w:uiPriority w:val="99"/>
    <w:rsid w:val="00E004B3"/>
    <w:pPr>
      <w:adjustRightInd w:val="0"/>
      <w:spacing w:line="312" w:lineRule="atLeast"/>
      <w:textAlignment w:val="baseline"/>
    </w:pPr>
    <w:rPr>
      <w:rFonts w:ascii="宋体"/>
      <w:kern w:val="0"/>
      <w:sz w:val="28"/>
      <w:szCs w:val="20"/>
    </w:rPr>
  </w:style>
  <w:style w:type="character" w:customStyle="1" w:styleId="Char0">
    <w:name w:val="日期 Char"/>
    <w:basedOn w:val="a0"/>
    <w:link w:val="a4"/>
    <w:uiPriority w:val="99"/>
    <w:locked/>
    <w:rsid w:val="00E004B3"/>
    <w:rPr>
      <w:rFonts w:ascii="宋体" w:eastAsia="宋体" w:hAnsi="Times New Roman" w:cs="Times New Roman"/>
      <w:kern w:val="0"/>
      <w:sz w:val="20"/>
      <w:szCs w:val="20"/>
    </w:rPr>
  </w:style>
  <w:style w:type="paragraph" w:styleId="a5">
    <w:name w:val="footer"/>
    <w:basedOn w:val="a"/>
    <w:link w:val="Char1"/>
    <w:uiPriority w:val="99"/>
    <w:rsid w:val="00E004B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004B3"/>
    <w:rPr>
      <w:rFonts w:ascii="Times New Roman" w:eastAsia="宋体" w:hAnsi="Times New Roman" w:cs="Times New Roman"/>
      <w:sz w:val="18"/>
      <w:szCs w:val="18"/>
    </w:rPr>
  </w:style>
  <w:style w:type="paragraph" w:styleId="a6">
    <w:name w:val="Subtitle"/>
    <w:basedOn w:val="a"/>
    <w:next w:val="a"/>
    <w:link w:val="Char2"/>
    <w:uiPriority w:val="99"/>
    <w:qFormat/>
    <w:rsid w:val="00E004B3"/>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6"/>
    <w:uiPriority w:val="99"/>
    <w:locked/>
    <w:rsid w:val="00E004B3"/>
    <w:rPr>
      <w:rFonts w:ascii="Cambria" w:eastAsia="宋体" w:hAnsi="Cambria" w:cs="Times New Roman"/>
      <w:b/>
      <w:bCs/>
      <w:kern w:val="28"/>
      <w:sz w:val="32"/>
      <w:szCs w:val="32"/>
    </w:rPr>
  </w:style>
  <w:style w:type="paragraph" w:styleId="a7">
    <w:name w:val="Normal (Web)"/>
    <w:basedOn w:val="a"/>
    <w:uiPriority w:val="99"/>
    <w:semiHidden/>
    <w:rsid w:val="00E004B3"/>
    <w:pPr>
      <w:widowControl/>
      <w:spacing w:before="100" w:beforeAutospacing="1" w:after="100" w:afterAutospacing="1"/>
      <w:jc w:val="left"/>
    </w:pPr>
    <w:rPr>
      <w:rFonts w:ascii="宋体" w:hAnsi="宋体"/>
      <w:kern w:val="0"/>
      <w:sz w:val="24"/>
      <w:szCs w:val="20"/>
    </w:rPr>
  </w:style>
  <w:style w:type="paragraph" w:customStyle="1" w:styleId="10">
    <w:name w:val="列出段落1"/>
    <w:basedOn w:val="a"/>
    <w:uiPriority w:val="99"/>
    <w:rsid w:val="00E004B3"/>
    <w:pPr>
      <w:ind w:firstLineChars="200" w:firstLine="420"/>
    </w:pPr>
  </w:style>
  <w:style w:type="paragraph" w:customStyle="1" w:styleId="a8">
    <w:name w:val="表格"/>
    <w:basedOn w:val="a"/>
    <w:uiPriority w:val="99"/>
    <w:rsid w:val="00E004B3"/>
    <w:pPr>
      <w:keepNext/>
      <w:adjustRightInd w:val="0"/>
      <w:spacing w:line="312" w:lineRule="atLeast"/>
      <w:jc w:val="center"/>
      <w:textAlignment w:val="baseline"/>
    </w:pPr>
    <w:rPr>
      <w:kern w:val="0"/>
      <w:szCs w:val="20"/>
    </w:rPr>
  </w:style>
  <w:style w:type="paragraph" w:customStyle="1" w:styleId="font6">
    <w:name w:val="font6"/>
    <w:basedOn w:val="a"/>
    <w:uiPriority w:val="99"/>
    <w:rsid w:val="00E004B3"/>
    <w:pPr>
      <w:widowControl/>
      <w:spacing w:before="100" w:beforeAutospacing="1" w:after="100" w:afterAutospacing="1"/>
      <w:jc w:val="left"/>
    </w:pPr>
    <w:rPr>
      <w:kern w:val="0"/>
      <w:sz w:val="24"/>
    </w:rPr>
  </w:style>
  <w:style w:type="character" w:customStyle="1" w:styleId="Char10">
    <w:name w:val="纯文本 Char1"/>
    <w:basedOn w:val="a0"/>
    <w:link w:val="a3"/>
    <w:uiPriority w:val="99"/>
    <w:semiHidden/>
    <w:locked/>
    <w:rsid w:val="00E004B3"/>
    <w:rPr>
      <w:rFonts w:ascii="宋体" w:eastAsia="宋体" w:hAnsi="Courier New" w:cs="Courier New"/>
      <w:sz w:val="21"/>
      <w:szCs w:val="21"/>
    </w:rPr>
  </w:style>
  <w:style w:type="paragraph" w:styleId="a9">
    <w:name w:val="header"/>
    <w:basedOn w:val="a"/>
    <w:link w:val="Char3"/>
    <w:uiPriority w:val="99"/>
    <w:semiHidden/>
    <w:rsid w:val="00CE38D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locked/>
    <w:rsid w:val="00CE38DC"/>
    <w:rPr>
      <w:rFonts w:cs="Times New Roman"/>
      <w:kern w:val="2"/>
      <w:sz w:val="18"/>
      <w:szCs w:val="18"/>
    </w:rPr>
  </w:style>
  <w:style w:type="paragraph" w:styleId="aa">
    <w:name w:val="Balloon Text"/>
    <w:basedOn w:val="a"/>
    <w:link w:val="Char4"/>
    <w:uiPriority w:val="99"/>
    <w:semiHidden/>
    <w:rsid w:val="006E6750"/>
    <w:rPr>
      <w:sz w:val="18"/>
      <w:szCs w:val="18"/>
    </w:rPr>
  </w:style>
  <w:style w:type="character" w:customStyle="1" w:styleId="Char4">
    <w:name w:val="批注框文本 Char"/>
    <w:basedOn w:val="a0"/>
    <w:link w:val="aa"/>
    <w:uiPriority w:val="99"/>
    <w:semiHidden/>
    <w:locked/>
    <w:rsid w:val="007F342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408</Words>
  <Characters>2326</Characters>
  <Application>Microsoft Office Word</Application>
  <DocSecurity>0</DocSecurity>
  <Lines>19</Lines>
  <Paragraphs>5</Paragraphs>
  <ScaleCrop>false</ScaleCrop>
  <Company>微软中国</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国家重点监控企业自行监测方案</dc:title>
  <dc:subject/>
  <dc:creator>Administrator</dc:creator>
  <cp:keywords/>
  <dc:description/>
  <cp:lastModifiedBy>a</cp:lastModifiedBy>
  <cp:revision>10</cp:revision>
  <cp:lastPrinted>2014-12-16T06:01:00Z</cp:lastPrinted>
  <dcterms:created xsi:type="dcterms:W3CDTF">2014-07-03T06:32:00Z</dcterms:created>
  <dcterms:modified xsi:type="dcterms:W3CDTF">2015-06-01T02:27:00Z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