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/>
          <w:sz w:val="72"/>
          <w:szCs w:val="72"/>
        </w:rPr>
      </w:pP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hAnsi="宋体" w:eastAsia="黑体"/>
          <w:sz w:val="52"/>
          <w:szCs w:val="52"/>
        </w:rPr>
        <w:t>国家重点监控企业自行监测方案</w:t>
      </w:r>
    </w:p>
    <w:p>
      <w:pPr>
        <w:jc w:val="center"/>
        <w:rPr>
          <w:rFonts w:ascii="宋体" w:hAnsi="宋体" w:eastAsia="宋体"/>
          <w:sz w:val="52"/>
          <w:szCs w:val="52"/>
        </w:rPr>
      </w:pPr>
    </w:p>
    <w:p>
      <w:pPr>
        <w:jc w:val="center"/>
        <w:rPr>
          <w:rFonts w:ascii="宋体" w:hAnsi="宋体" w:eastAsia="宋体"/>
          <w:sz w:val="52"/>
          <w:szCs w:val="52"/>
        </w:rPr>
      </w:pPr>
    </w:p>
    <w:p>
      <w:pPr>
        <w:jc w:val="center"/>
        <w:rPr>
          <w:rFonts w:ascii="宋体" w:hAnsi="宋体" w:eastAsia="宋体"/>
          <w:sz w:val="52"/>
          <w:szCs w:val="52"/>
        </w:rPr>
      </w:pPr>
    </w:p>
    <w:p>
      <w:pPr>
        <w:jc w:val="center"/>
        <w:rPr>
          <w:rFonts w:ascii="宋体" w:hAnsi="宋体" w:eastAsia="宋体"/>
          <w:sz w:val="52"/>
          <w:szCs w:val="52"/>
        </w:rPr>
      </w:pPr>
    </w:p>
    <w:p>
      <w:pPr>
        <w:rPr>
          <w:rFonts w:ascii="宋体" w:hAnsi="宋体" w:eastAsia="宋体"/>
          <w:sz w:val="52"/>
          <w:szCs w:val="52"/>
        </w:rPr>
      </w:pPr>
    </w:p>
    <w:p>
      <w:pPr>
        <w:jc w:val="center"/>
        <w:rPr>
          <w:rFonts w:ascii="宋体" w:hAnsi="宋体" w:eastAsia="宋体"/>
        </w:rPr>
      </w:pPr>
    </w:p>
    <w:p>
      <w:pPr>
        <w:spacing w:line="540" w:lineRule="exact"/>
        <w:ind w:firstLine="960" w:firstLineChars="200"/>
        <w:jc w:val="left"/>
        <w:rPr>
          <w:rFonts w:hint="eastAsia" w:ascii="宋体" w:hAnsi="宋体" w:eastAsia="宋体"/>
          <w:sz w:val="48"/>
          <w:szCs w:val="48"/>
        </w:rPr>
      </w:pPr>
    </w:p>
    <w:p>
      <w:pPr>
        <w:spacing w:line="540" w:lineRule="exact"/>
        <w:ind w:firstLine="960" w:firstLineChars="200"/>
        <w:jc w:val="left"/>
        <w:rPr>
          <w:rFonts w:hint="eastAsia" w:ascii="宋体" w:hAnsi="宋体" w:eastAsia="宋体"/>
          <w:sz w:val="48"/>
          <w:szCs w:val="48"/>
        </w:rPr>
      </w:pPr>
    </w:p>
    <w:p>
      <w:pPr>
        <w:spacing w:line="540" w:lineRule="exact"/>
        <w:ind w:firstLine="960" w:firstLineChars="200"/>
        <w:jc w:val="left"/>
        <w:rPr>
          <w:rFonts w:hint="eastAsia" w:ascii="宋体" w:hAnsi="宋体" w:eastAsia="宋体"/>
          <w:sz w:val="48"/>
          <w:szCs w:val="48"/>
        </w:rPr>
      </w:pPr>
    </w:p>
    <w:p>
      <w:pPr>
        <w:spacing w:line="540" w:lineRule="exact"/>
        <w:ind w:firstLine="960" w:firstLineChars="200"/>
        <w:jc w:val="left"/>
        <w:rPr>
          <w:rFonts w:hint="eastAsia" w:ascii="宋体" w:hAnsi="宋体" w:eastAsia="宋体"/>
          <w:sz w:val="48"/>
          <w:szCs w:val="48"/>
        </w:rPr>
      </w:pPr>
    </w:p>
    <w:p>
      <w:pPr>
        <w:spacing w:line="540" w:lineRule="exact"/>
        <w:ind w:firstLine="960" w:firstLineChars="200"/>
        <w:jc w:val="left"/>
        <w:rPr>
          <w:rFonts w:hint="eastAsia" w:ascii="宋体" w:hAnsi="宋体" w:eastAsia="宋体"/>
          <w:sz w:val="48"/>
          <w:szCs w:val="48"/>
        </w:rPr>
      </w:pPr>
    </w:p>
    <w:p>
      <w:pPr>
        <w:spacing w:line="540" w:lineRule="exact"/>
        <w:ind w:firstLine="960" w:firstLineChars="200"/>
        <w:jc w:val="left"/>
        <w:rPr>
          <w:rFonts w:hint="eastAsia" w:ascii="宋体" w:hAnsi="宋体" w:eastAsia="宋体"/>
          <w:sz w:val="48"/>
          <w:szCs w:val="48"/>
        </w:rPr>
      </w:pPr>
    </w:p>
    <w:p>
      <w:pPr>
        <w:spacing w:line="540" w:lineRule="exact"/>
        <w:ind w:firstLine="960" w:firstLineChars="200"/>
        <w:jc w:val="left"/>
        <w:rPr>
          <w:rFonts w:hint="eastAsia" w:ascii="宋体" w:hAnsi="宋体" w:eastAsia="宋体"/>
          <w:sz w:val="48"/>
          <w:szCs w:val="48"/>
        </w:rPr>
      </w:pP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龙江元盛食品有限公司</w:t>
      </w: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  <w:sz w:val="44"/>
          <w:szCs w:val="44"/>
        </w:rPr>
      </w:pPr>
      <w:r>
        <w:rPr>
          <w:rFonts w:ascii="宋体" w:hAnsi="宋体"/>
          <w:sz w:val="44"/>
          <w:szCs w:val="44"/>
        </w:rPr>
        <w:t>2015</w:t>
      </w:r>
      <w:r>
        <w:rPr>
          <w:rFonts w:hint="eastAsia" w:ascii="宋体" w:hAnsi="宋体"/>
          <w:sz w:val="44"/>
          <w:szCs w:val="44"/>
        </w:rPr>
        <w:t>年</w:t>
      </w:r>
      <w:r>
        <w:rPr>
          <w:rFonts w:ascii="宋体" w:hAnsi="宋体"/>
          <w:sz w:val="44"/>
          <w:szCs w:val="44"/>
        </w:rPr>
        <w:t xml:space="preserve"> 1</w:t>
      </w:r>
      <w:r>
        <w:rPr>
          <w:rFonts w:hint="eastAsia" w:ascii="宋体" w:hAnsi="宋体"/>
          <w:sz w:val="44"/>
          <w:szCs w:val="44"/>
        </w:rPr>
        <w:t>月25日</w:t>
      </w:r>
    </w:p>
    <w:p>
      <w:pPr>
        <w:spacing w:line="540" w:lineRule="exact"/>
        <w:ind w:firstLine="960" w:firstLineChars="200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/>
          <w:sz w:val="48"/>
          <w:szCs w:val="48"/>
        </w:rPr>
        <w:br w:type="page"/>
      </w:r>
      <w:r>
        <w:rPr>
          <w:rFonts w:hint="eastAsia" w:ascii="宋体" w:hAnsi="宋体" w:eastAsia="宋体" w:cs="宋体"/>
          <w:kern w:val="0"/>
          <w:sz w:val="32"/>
          <w:szCs w:val="32"/>
        </w:rPr>
        <w:t>为</w:t>
      </w:r>
      <w:r>
        <w:rPr>
          <w:rFonts w:hint="eastAsia" w:ascii="宋体" w:hAnsi="宋体" w:eastAsia="宋体" w:cs="Batang"/>
          <w:kern w:val="0"/>
          <w:sz w:val="32"/>
          <w:szCs w:val="32"/>
        </w:rPr>
        <w:t>自</w:t>
      </w:r>
      <w:r>
        <w:rPr>
          <w:rFonts w:hint="eastAsia" w:ascii="宋体" w:hAnsi="宋体" w:eastAsia="宋体" w:cs="宋体"/>
          <w:kern w:val="0"/>
          <w:sz w:val="32"/>
          <w:szCs w:val="32"/>
        </w:rPr>
        <w:t>觉</w:t>
      </w:r>
      <w:r>
        <w:rPr>
          <w:rFonts w:hint="eastAsia" w:ascii="宋体" w:hAnsi="宋体" w:eastAsia="宋体" w:cs="Batang"/>
          <w:kern w:val="0"/>
          <w:sz w:val="32"/>
          <w:szCs w:val="32"/>
        </w:rPr>
        <w:t>履行保</w:t>
      </w:r>
      <w:r>
        <w:rPr>
          <w:rFonts w:hint="eastAsia" w:ascii="宋体" w:hAnsi="宋体" w:eastAsia="宋体" w:cs="宋体"/>
          <w:kern w:val="0"/>
          <w:sz w:val="32"/>
          <w:szCs w:val="32"/>
        </w:rPr>
        <w:t>护环</w:t>
      </w:r>
      <w:r>
        <w:rPr>
          <w:rFonts w:hint="eastAsia" w:ascii="宋体" w:hAnsi="宋体" w:eastAsia="宋体" w:cs="Batang"/>
          <w:kern w:val="0"/>
          <w:sz w:val="32"/>
          <w:szCs w:val="32"/>
        </w:rPr>
        <w:t>境的</w:t>
      </w:r>
      <w:r>
        <w:rPr>
          <w:rFonts w:hint="eastAsia" w:ascii="宋体" w:hAnsi="宋体" w:eastAsia="宋体" w:cs="宋体"/>
          <w:kern w:val="0"/>
          <w:sz w:val="32"/>
          <w:szCs w:val="32"/>
        </w:rPr>
        <w:t>义务</w:t>
      </w:r>
      <w:r>
        <w:rPr>
          <w:rFonts w:hint="eastAsia" w:ascii="宋体" w:hAnsi="宋体" w:eastAsia="宋体" w:cs="Batang"/>
          <w:kern w:val="0"/>
          <w:sz w:val="32"/>
          <w:szCs w:val="32"/>
        </w:rPr>
        <w:t>，主</w:t>
      </w:r>
      <w:r>
        <w:rPr>
          <w:rFonts w:hint="eastAsia" w:ascii="宋体" w:hAnsi="宋体" w:eastAsia="宋体" w:cs="宋体"/>
          <w:kern w:val="0"/>
          <w:sz w:val="32"/>
          <w:szCs w:val="32"/>
        </w:rPr>
        <w:t>动</w:t>
      </w:r>
      <w:r>
        <w:rPr>
          <w:rFonts w:hint="eastAsia" w:ascii="宋体" w:hAnsi="宋体" w:eastAsia="宋体" w:cs="Batang"/>
          <w:kern w:val="0"/>
          <w:sz w:val="32"/>
          <w:szCs w:val="32"/>
        </w:rPr>
        <w:t>接受社</w:t>
      </w:r>
      <w:r>
        <w:rPr>
          <w:rFonts w:hint="eastAsia" w:ascii="宋体" w:hAnsi="宋体" w:eastAsia="宋体" w:cs="宋体"/>
          <w:kern w:val="0"/>
          <w:sz w:val="32"/>
          <w:szCs w:val="32"/>
        </w:rPr>
        <w:t>会监</w:t>
      </w:r>
      <w:r>
        <w:rPr>
          <w:rFonts w:hint="eastAsia" w:ascii="宋体" w:hAnsi="宋体" w:eastAsia="宋体" w:cs="Batang"/>
          <w:kern w:val="0"/>
          <w:sz w:val="32"/>
          <w:szCs w:val="32"/>
        </w:rPr>
        <w:t>督，</w:t>
      </w:r>
      <w:r>
        <w:rPr>
          <w:rFonts w:hint="eastAsia" w:ascii="宋体" w:hAnsi="宋体"/>
          <w:kern w:val="0"/>
          <w:sz w:val="32"/>
          <w:szCs w:val="32"/>
        </w:rPr>
        <w:t>按照《国家重点监控企业自行监测及信息公开办法》要求</w:t>
      </w:r>
      <w:r>
        <w:rPr>
          <w:rFonts w:hint="eastAsia" w:ascii="宋体" w:hAnsi="宋体" w:eastAsia="宋体" w:cs="Batang"/>
          <w:kern w:val="0"/>
          <w:sz w:val="32"/>
          <w:szCs w:val="32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</w:rPr>
        <w:t>环</w:t>
      </w:r>
      <w:r>
        <w:rPr>
          <w:rFonts w:hint="eastAsia" w:ascii="宋体" w:hAnsi="宋体" w:eastAsia="宋体" w:cs="Batang"/>
          <w:kern w:val="0"/>
          <w:sz w:val="32"/>
          <w:szCs w:val="32"/>
        </w:rPr>
        <w:t>境影</w:t>
      </w:r>
      <w:r>
        <w:rPr>
          <w:rFonts w:hint="eastAsia" w:ascii="宋体" w:hAnsi="宋体" w:eastAsia="宋体" w:cs="宋体"/>
          <w:kern w:val="0"/>
          <w:sz w:val="32"/>
          <w:szCs w:val="32"/>
        </w:rPr>
        <w:t>响评</w:t>
      </w:r>
      <w:r>
        <w:rPr>
          <w:rFonts w:hint="eastAsia" w:ascii="宋体" w:hAnsi="宋体" w:eastAsia="宋体" w:cs="Batang"/>
          <w:kern w:val="0"/>
          <w:sz w:val="32"/>
          <w:szCs w:val="32"/>
        </w:rPr>
        <w:t>价</w:t>
      </w:r>
      <w:r>
        <w:rPr>
          <w:rFonts w:hint="eastAsia" w:ascii="宋体" w:hAnsi="宋体" w:eastAsia="宋体" w:cs="宋体"/>
          <w:kern w:val="0"/>
          <w:sz w:val="32"/>
          <w:szCs w:val="32"/>
        </w:rPr>
        <w:t>报</w:t>
      </w:r>
      <w:r>
        <w:rPr>
          <w:rFonts w:hint="eastAsia" w:ascii="宋体" w:hAnsi="宋体" w:eastAsia="宋体" w:cs="Batang"/>
          <w:kern w:val="0"/>
          <w:sz w:val="32"/>
          <w:szCs w:val="32"/>
        </w:rPr>
        <w:t>告</w:t>
      </w:r>
      <w:r>
        <w:rPr>
          <w:rFonts w:hint="eastAsia" w:ascii="宋体" w:hAnsi="宋体" w:eastAsia="宋体" w:cs="宋体"/>
          <w:kern w:val="0"/>
          <w:sz w:val="32"/>
          <w:szCs w:val="32"/>
        </w:rPr>
        <w:t>书</w:t>
      </w:r>
      <w:r>
        <w:rPr>
          <w:rFonts w:hint="eastAsia" w:ascii="宋体" w:hAnsi="宋体" w:eastAsia="宋体" w:cs="Batang"/>
          <w:kern w:val="0"/>
          <w:sz w:val="32"/>
          <w:szCs w:val="32"/>
        </w:rPr>
        <w:t>及其批</w:t>
      </w:r>
      <w:r>
        <w:rPr>
          <w:rFonts w:hint="eastAsia" w:ascii="宋体" w:hAnsi="宋体" w:eastAsia="宋体" w:cs="宋体"/>
          <w:kern w:val="0"/>
          <w:sz w:val="32"/>
          <w:szCs w:val="32"/>
        </w:rPr>
        <w:t>复</w:t>
      </w:r>
      <w:r>
        <w:rPr>
          <w:rFonts w:hint="eastAsia" w:ascii="宋体" w:hAnsi="宋体" w:eastAsia="宋体" w:cs="Batang"/>
          <w:kern w:val="0"/>
          <w:sz w:val="32"/>
          <w:szCs w:val="32"/>
        </w:rPr>
        <w:t>、</w:t>
      </w:r>
      <w:r>
        <w:rPr>
          <w:rFonts w:hint="eastAsia" w:ascii="宋体" w:hAnsi="宋体" w:eastAsia="宋体" w:cs="宋体"/>
          <w:kern w:val="0"/>
          <w:sz w:val="32"/>
          <w:szCs w:val="32"/>
        </w:rPr>
        <w:t>国</w:t>
      </w:r>
      <w:r>
        <w:rPr>
          <w:rFonts w:hint="eastAsia" w:ascii="宋体" w:hAnsi="宋体" w:eastAsia="宋体" w:cs="Batang"/>
          <w:kern w:val="0"/>
          <w:sz w:val="32"/>
          <w:szCs w:val="32"/>
        </w:rPr>
        <w:t>家或地方</w:t>
      </w:r>
      <w:r>
        <w:rPr>
          <w:rFonts w:hint="eastAsia" w:ascii="宋体" w:hAnsi="宋体" w:eastAsia="宋体" w:cs="宋体"/>
          <w:kern w:val="0"/>
          <w:sz w:val="32"/>
          <w:szCs w:val="32"/>
        </w:rPr>
        <w:t>污</w:t>
      </w:r>
      <w:r>
        <w:rPr>
          <w:rFonts w:hint="eastAsia" w:ascii="宋体" w:hAnsi="宋体" w:eastAsia="宋体" w:cs="Batang"/>
          <w:kern w:val="0"/>
          <w:sz w:val="32"/>
          <w:szCs w:val="32"/>
        </w:rPr>
        <w:t>染物排放</w:t>
      </w:r>
      <w:r>
        <w:rPr>
          <w:rFonts w:hint="eastAsia" w:ascii="宋体" w:hAnsi="宋体" w:eastAsia="宋体" w:cs="宋体"/>
          <w:kern w:val="0"/>
          <w:sz w:val="32"/>
          <w:szCs w:val="32"/>
        </w:rPr>
        <w:t>标</w:t>
      </w:r>
      <w:r>
        <w:rPr>
          <w:rFonts w:hint="eastAsia" w:ascii="宋体" w:hAnsi="宋体" w:eastAsia="宋体" w:cs="Batang"/>
          <w:kern w:val="0"/>
          <w:sz w:val="32"/>
          <w:szCs w:val="32"/>
        </w:rPr>
        <w:t>准、</w:t>
      </w:r>
      <w:r>
        <w:rPr>
          <w:rFonts w:hint="eastAsia" w:ascii="宋体" w:hAnsi="宋体" w:eastAsia="宋体" w:cs="宋体"/>
          <w:kern w:val="0"/>
          <w:sz w:val="32"/>
          <w:szCs w:val="32"/>
        </w:rPr>
        <w:t>环</w:t>
      </w:r>
      <w:r>
        <w:rPr>
          <w:rFonts w:hint="eastAsia" w:ascii="宋体" w:hAnsi="宋体" w:eastAsia="宋体" w:cs="Batang"/>
          <w:kern w:val="0"/>
          <w:sz w:val="32"/>
          <w:szCs w:val="32"/>
        </w:rPr>
        <w:t>境</w:t>
      </w:r>
      <w:r>
        <w:rPr>
          <w:rFonts w:hint="eastAsia" w:ascii="宋体" w:hAnsi="宋体" w:eastAsia="宋体" w:cs="宋体"/>
          <w:kern w:val="0"/>
          <w:sz w:val="32"/>
          <w:szCs w:val="32"/>
        </w:rPr>
        <w:t>监测</w:t>
      </w:r>
      <w:r>
        <w:rPr>
          <w:rFonts w:hint="eastAsia" w:ascii="宋体" w:hAnsi="宋体" w:eastAsia="宋体" w:cs="Batang"/>
          <w:kern w:val="0"/>
          <w:sz w:val="32"/>
          <w:szCs w:val="32"/>
        </w:rPr>
        <w:t>技</w:t>
      </w:r>
      <w:r>
        <w:rPr>
          <w:rFonts w:hint="eastAsia" w:ascii="宋体" w:hAnsi="宋体" w:eastAsia="宋体" w:cs="宋体"/>
          <w:kern w:val="0"/>
          <w:sz w:val="32"/>
          <w:szCs w:val="32"/>
        </w:rPr>
        <w:t>术规</w:t>
      </w:r>
      <w:r>
        <w:rPr>
          <w:rFonts w:hint="eastAsia" w:ascii="宋体" w:hAnsi="宋体" w:eastAsia="宋体" w:cs="Batang"/>
          <w:kern w:val="0"/>
          <w:sz w:val="32"/>
          <w:szCs w:val="32"/>
        </w:rPr>
        <w:t>范</w:t>
      </w:r>
      <w:r>
        <w:rPr>
          <w:rFonts w:hint="eastAsia" w:ascii="宋体" w:hAnsi="宋体" w:eastAsia="宋体"/>
          <w:kern w:val="0"/>
          <w:sz w:val="32"/>
          <w:szCs w:val="32"/>
        </w:rPr>
        <w:t>等要求，</w:t>
      </w:r>
      <w:r>
        <w:rPr>
          <w:rFonts w:hint="eastAsia" w:ascii="宋体" w:hAnsi="宋体" w:eastAsia="宋体"/>
          <w:sz w:val="32"/>
          <w:szCs w:val="32"/>
        </w:rPr>
        <w:t>根据我公司的</w:t>
      </w:r>
      <w:r>
        <w:rPr>
          <w:rFonts w:hint="eastAsia" w:ascii="宋体" w:hAnsi="宋体" w:eastAsia="宋体" w:cs="宋体"/>
          <w:sz w:val="32"/>
          <w:szCs w:val="32"/>
        </w:rPr>
        <w:t>实际</w:t>
      </w:r>
      <w:r>
        <w:rPr>
          <w:rFonts w:hint="eastAsia" w:ascii="宋体" w:hAnsi="宋体" w:eastAsia="宋体"/>
          <w:sz w:val="32"/>
          <w:szCs w:val="32"/>
        </w:rPr>
        <w:t>生</w:t>
      </w:r>
      <w:r>
        <w:rPr>
          <w:rFonts w:hint="eastAsia" w:ascii="宋体" w:hAnsi="宋体" w:eastAsia="宋体" w:cs="宋体"/>
          <w:sz w:val="32"/>
          <w:szCs w:val="32"/>
        </w:rPr>
        <w:t>产</w:t>
      </w:r>
      <w:r>
        <w:rPr>
          <w:rFonts w:hint="eastAsia" w:ascii="宋体" w:hAnsi="宋体" w:eastAsia="宋体"/>
          <w:sz w:val="32"/>
          <w:szCs w:val="32"/>
        </w:rPr>
        <w:t>情</w:t>
      </w:r>
      <w:r>
        <w:rPr>
          <w:rFonts w:hint="eastAsia" w:ascii="宋体" w:hAnsi="宋体" w:eastAsia="宋体" w:cs="宋体"/>
          <w:sz w:val="32"/>
          <w:szCs w:val="32"/>
        </w:rPr>
        <w:t>况</w:t>
      </w:r>
      <w:r>
        <w:rPr>
          <w:rFonts w:hint="eastAsia" w:ascii="宋体" w:hAnsi="宋体" w:eastAsia="宋体"/>
          <w:sz w:val="32"/>
          <w:szCs w:val="32"/>
        </w:rPr>
        <w:t>，制定了</w:t>
      </w:r>
      <w:r>
        <w:rPr>
          <w:rFonts w:ascii="宋体" w:hAnsi="宋体" w:eastAsia="宋体" w:cs="宋体"/>
          <w:kern w:val="0"/>
          <w:sz w:val="32"/>
          <w:szCs w:val="32"/>
        </w:rPr>
        <w:t>201</w:t>
      </w:r>
      <w:r>
        <w:rPr>
          <w:rFonts w:hint="eastAsia" w:ascii="宋体" w:hAnsi="宋体" w:eastAsia="宋体" w:cs="宋体"/>
          <w:kern w:val="0"/>
          <w:sz w:val="32"/>
          <w:szCs w:val="32"/>
        </w:rPr>
        <w:t>5年度自行监测方案，并严格执行。</w:t>
      </w:r>
    </w:p>
    <w:p>
      <w:pPr>
        <w:spacing w:line="540" w:lineRule="exact"/>
        <w:ind w:firstLine="643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一、公司基本情</w:t>
      </w:r>
      <w:r>
        <w:rPr>
          <w:rFonts w:hint="eastAsia" w:ascii="宋体" w:hAnsi="宋体" w:eastAsia="宋体" w:cs="宋体"/>
          <w:b/>
          <w:sz w:val="32"/>
          <w:szCs w:val="32"/>
        </w:rPr>
        <w:t>况</w:t>
      </w:r>
      <w:r>
        <w:rPr>
          <w:rFonts w:ascii="宋体" w:hAnsi="宋体" w:eastAsia="宋体"/>
          <w:sz w:val="24"/>
        </w:rPr>
        <w:t xml:space="preserve"> </w:t>
      </w:r>
    </w:p>
    <w:p>
      <w:pPr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1</w:t>
      </w:r>
      <w:r>
        <w:rPr>
          <w:rFonts w:hint="eastAsia" w:ascii="宋体" w:hAnsi="宋体" w:eastAsia="宋体" w:cs="宋体"/>
          <w:kern w:val="0"/>
          <w:sz w:val="32"/>
          <w:szCs w:val="32"/>
        </w:rPr>
        <w:t>、企业名称：龙江元盛食品有限公司</w:t>
      </w:r>
    </w:p>
    <w:p>
      <w:pPr>
        <w:pStyle w:val="7"/>
        <w:ind w:left="359" w:leftChars="171" w:firstLine="0" w:firstLineChars="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法人代表：林紫书</w:t>
      </w:r>
    </w:p>
    <w:p>
      <w:pPr>
        <w:pStyle w:val="7"/>
        <w:ind w:left="359" w:leftChars="171" w:firstLine="0" w:firstLineChars="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所属行业：食品</w:t>
      </w:r>
    </w:p>
    <w:p>
      <w:pPr>
        <w:pStyle w:val="7"/>
        <w:ind w:left="359" w:leftChars="171" w:firstLine="0" w:firstLineChars="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地理位置</w:t>
      </w:r>
    </w:p>
    <w:p>
      <w:pPr>
        <w:pStyle w:val="7"/>
        <w:ind w:left="359" w:leftChars="171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 w:cs="Times New Roman"/>
          <w:kern w:val="2"/>
          <w:sz w:val="21"/>
          <w:szCs w:val="22"/>
          <w:lang w:val="en-US" w:eastAsia="zh-CN" w:bidi="ar-SA"/>
        </w:rPr>
        <w:pict>
          <v:shape id="Picture 1" o:spid="_x0000_s1026" type="#_x0000_t75" style="height:340.5pt;width:453pt;rotation:0f;" o:ole="f" fillcolor="#FFFFFF" filled="f" o:preferrelative="t" stroked="f" coordorigin="0,0" coordsize="21600,21600">
            <v:fill on="f" color2="#FFFFFF" focus="0%"/>
            <v:imagedata gain="65536f" blacklevel="0f" gamma="0" o:title="元盛地理位置图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ascii="宋体" w:hAnsi="宋体" w:eastAsia="宋体" w:cs="宋体"/>
          <w:kern w:val="0"/>
          <w:sz w:val="32"/>
          <w:szCs w:val="32"/>
        </w:rPr>
      </w:pPr>
    </w:p>
    <w:p>
      <w:pPr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联系方式：</w:t>
      </w:r>
      <w:r>
        <w:rPr>
          <w:rFonts w:ascii="宋体" w:hAnsi="宋体" w:eastAsia="宋体" w:cs="宋体"/>
          <w:kern w:val="0"/>
          <w:sz w:val="32"/>
          <w:szCs w:val="32"/>
        </w:rPr>
        <w:t>0452-5883557</w:t>
      </w:r>
    </w:p>
    <w:p>
      <w:pPr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委托监测机构名称：龙江县环保局环境监测站</w:t>
      </w:r>
    </w:p>
    <w:p>
      <w:pPr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2</w:t>
      </w:r>
      <w:r>
        <w:rPr>
          <w:rFonts w:hint="eastAsia" w:ascii="宋体" w:hAnsi="宋体" w:eastAsia="宋体" w:cs="宋体"/>
          <w:kern w:val="0"/>
          <w:sz w:val="32"/>
          <w:szCs w:val="32"/>
        </w:rPr>
        <w:t>、生产工艺及生产排污情况</w:t>
      </w:r>
    </w:p>
    <w:p>
      <w:pPr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kern w:val="0"/>
          <w:sz w:val="32"/>
          <w:szCs w:val="32"/>
        </w:rPr>
        <w:t>主要工程组成：屠宰生产线、熟食加工生产线、污水处理站</w:t>
      </w: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 w:cs="Times New Roman"/>
          <w:kern w:val="2"/>
          <w:sz w:val="24"/>
          <w:szCs w:val="22"/>
          <w:lang w:val="en-US" w:eastAsia="zh-CN" w:bidi="ar-SA"/>
        </w:rPr>
        <w:pict>
          <v:shape id="图片 1" o:spid="_x0000_s1027" alt="Image_00006.jpg" type="#_x0000_t75" style="height:260.25pt;width:241.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/>
          <w:sz w:val="24"/>
        </w:rPr>
        <w:t xml:space="preserve">   </w:t>
      </w:r>
      <w:r>
        <w:rPr>
          <w:rFonts w:hint="eastAsia" w:ascii="宋体" w:hAnsi="宋体" w:eastAsia="宋体" w:cs="宋体"/>
          <w:kern w:val="0"/>
          <w:sz w:val="32"/>
          <w:szCs w:val="32"/>
        </w:rPr>
        <w:t>主要原料及产品：活牛、分割肉</w:t>
      </w: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 w:cs="Times New Roman"/>
          <w:kern w:val="2"/>
          <w:sz w:val="24"/>
          <w:szCs w:val="22"/>
          <w:lang w:val="en-US" w:eastAsia="zh-CN" w:bidi="ar-SA"/>
        </w:rPr>
        <w:pict>
          <v:shape id="图片 2" o:spid="_x0000_s1028" alt="Image_00005.jpg" type="#_x0000_t75" style="height:300.75pt;width:264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/>
          <w:sz w:val="24"/>
        </w:rPr>
        <w:t xml:space="preserve"> 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工艺流程：工艺流程采用的污水处理工艺为”水解酸化</w:t>
      </w:r>
      <w:r>
        <w:rPr>
          <w:rFonts w:ascii="宋体" w:hAnsi="宋体" w:eastAsia="宋体" w:cs="宋体"/>
          <w:kern w:val="0"/>
          <w:sz w:val="32"/>
          <w:szCs w:val="32"/>
        </w:rPr>
        <w:t>+A/O</w:t>
      </w:r>
      <w:r>
        <w:rPr>
          <w:rFonts w:hint="eastAsia" w:ascii="宋体" w:hAnsi="宋体" w:eastAsia="宋体" w:cs="宋体"/>
          <w:kern w:val="0"/>
          <w:sz w:val="32"/>
          <w:szCs w:val="32"/>
        </w:rPr>
        <w:t>”工艺，设计处理能力为</w:t>
      </w:r>
      <w:r>
        <w:rPr>
          <w:rFonts w:ascii="宋体" w:hAnsi="宋体" w:eastAsia="宋体" w:cs="宋体"/>
          <w:kern w:val="0"/>
          <w:sz w:val="32"/>
          <w:szCs w:val="32"/>
        </w:rPr>
        <w:t>500m</w:t>
      </w:r>
      <w:r>
        <w:rPr>
          <w:rFonts w:hint="eastAsia" w:ascii="宋体" w:hAnsi="宋体" w:eastAsia="宋体" w:cs="宋体"/>
          <w:kern w:val="0"/>
          <w:sz w:val="32"/>
          <w:szCs w:val="32"/>
        </w:rPr>
        <w:t>³</w:t>
      </w:r>
      <w:r>
        <w:rPr>
          <w:rFonts w:ascii="宋体" w:hAnsi="宋体" w:eastAsia="宋体" w:cs="宋体"/>
          <w:kern w:val="0"/>
          <w:sz w:val="32"/>
          <w:szCs w:val="32"/>
        </w:rPr>
        <w:t>/d,</w:t>
      </w:r>
      <w:r>
        <w:rPr>
          <w:rFonts w:hint="eastAsia" w:ascii="宋体" w:hAnsi="宋体" w:eastAsia="宋体" w:cs="宋体"/>
          <w:kern w:val="0"/>
          <w:sz w:val="32"/>
          <w:szCs w:val="32"/>
        </w:rPr>
        <w:t>实际处理量为</w:t>
      </w:r>
      <w:r>
        <w:rPr>
          <w:rFonts w:ascii="宋体" w:hAnsi="宋体" w:eastAsia="宋体" w:cs="宋体"/>
          <w:kern w:val="0"/>
          <w:sz w:val="32"/>
          <w:szCs w:val="32"/>
        </w:rPr>
        <w:t>400m/d</w:t>
      </w:r>
      <w:r>
        <w:rPr>
          <w:rFonts w:hint="eastAsia" w:ascii="宋体" w:hAnsi="宋体" w:eastAsia="宋体" w:cs="宋体"/>
          <w:kern w:val="0"/>
          <w:sz w:val="32"/>
          <w:szCs w:val="32"/>
        </w:rPr>
        <w:t>。</w:t>
      </w:r>
    </w:p>
    <w:p>
      <w:pPr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排放口名称：污水排放口</w:t>
      </w:r>
    </w:p>
    <w:p>
      <w:pPr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自动监测设备名称及位置：</w:t>
      </w:r>
      <w:r>
        <w:rPr>
          <w:rFonts w:ascii="宋体" w:hAnsi="宋体" w:eastAsia="宋体" w:cs="宋体"/>
          <w:kern w:val="0"/>
          <w:sz w:val="32"/>
          <w:szCs w:val="32"/>
        </w:rPr>
        <w:t>COD</w:t>
      </w:r>
      <w:r>
        <w:rPr>
          <w:rFonts w:hint="eastAsia" w:ascii="宋体" w:hAnsi="宋体" w:eastAsia="宋体" w:cs="宋体"/>
          <w:kern w:val="0"/>
          <w:sz w:val="32"/>
          <w:szCs w:val="32"/>
        </w:rPr>
        <w:t>自动监测仪、氨氮自动监测仪。位置设在污水排放站</w:t>
      </w:r>
    </w:p>
    <w:p>
      <w:pPr>
        <w:spacing w:line="540" w:lineRule="exact"/>
        <w:ind w:firstLine="643" w:firstLineChars="20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sz w:val="32"/>
          <w:szCs w:val="32"/>
        </w:rPr>
        <w:t>污</w:t>
      </w:r>
      <w:r>
        <w:rPr>
          <w:rFonts w:hint="eastAsia" w:ascii="宋体" w:hAnsi="宋体" w:eastAsia="宋体" w:cs="Batang"/>
          <w:b/>
          <w:sz w:val="32"/>
          <w:szCs w:val="32"/>
        </w:rPr>
        <w:t>染物排放</w:t>
      </w:r>
      <w:r>
        <w:rPr>
          <w:rFonts w:hint="eastAsia" w:ascii="宋体" w:hAnsi="宋体" w:eastAsia="宋体"/>
          <w:b/>
          <w:sz w:val="32"/>
          <w:szCs w:val="32"/>
        </w:rPr>
        <w:t>自</w:t>
      </w:r>
      <w:r>
        <w:rPr>
          <w:rFonts w:hint="eastAsia" w:ascii="宋体" w:hAnsi="宋体" w:eastAsia="宋体" w:cs="宋体"/>
          <w:b/>
          <w:sz w:val="32"/>
          <w:szCs w:val="32"/>
        </w:rPr>
        <w:t>监测</w:t>
      </w:r>
    </w:p>
    <w:p>
      <w:pPr>
        <w:spacing w:line="540" w:lineRule="exact"/>
        <w:ind w:firstLine="643" w:firstLineChars="200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（一）</w:t>
      </w:r>
      <w:r>
        <w:rPr>
          <w:rFonts w:hint="eastAsia" w:ascii="宋体" w:hAnsi="宋体" w:eastAsia="宋体"/>
          <w:sz w:val="32"/>
          <w:szCs w:val="32"/>
        </w:rPr>
        <w:t>水</w:t>
      </w:r>
      <w:r>
        <w:rPr>
          <w:rFonts w:hint="eastAsia" w:ascii="宋体" w:hAnsi="宋体" w:eastAsia="宋体" w:cs="宋体"/>
          <w:sz w:val="32"/>
          <w:szCs w:val="32"/>
        </w:rPr>
        <w:t>污</w:t>
      </w:r>
      <w:r>
        <w:rPr>
          <w:rFonts w:hint="eastAsia" w:ascii="宋体" w:hAnsi="宋体" w:eastAsia="宋体" w:cs="Batang"/>
          <w:sz w:val="32"/>
          <w:szCs w:val="32"/>
        </w:rPr>
        <w:t>染物排放</w:t>
      </w:r>
      <w:r>
        <w:rPr>
          <w:rFonts w:hint="eastAsia" w:ascii="宋体" w:hAnsi="宋体" w:eastAsia="宋体" w:cs="宋体"/>
          <w:sz w:val="32"/>
          <w:szCs w:val="32"/>
        </w:rPr>
        <w:t>监测</w:t>
      </w:r>
    </w:p>
    <w:p>
      <w:pPr>
        <w:spacing w:line="540" w:lineRule="exact"/>
        <w:ind w:firstLine="640" w:firstLineChars="200"/>
        <w:jc w:val="left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1</w:t>
      </w:r>
      <w:r>
        <w:rPr>
          <w:rFonts w:hint="eastAsia" w:ascii="宋体" w:hAnsi="宋体" w:eastAsia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监测</w:t>
      </w:r>
      <w:r>
        <w:rPr>
          <w:rFonts w:hint="eastAsia" w:ascii="宋体" w:hAnsi="宋体" w:eastAsia="宋体" w:cs="Batang"/>
          <w:sz w:val="32"/>
          <w:szCs w:val="32"/>
        </w:rPr>
        <w:t>点位</w:t>
      </w:r>
    </w:p>
    <w:p>
      <w:pPr>
        <w:spacing w:line="540" w:lineRule="exact"/>
        <w:ind w:firstLine="640" w:firstLineChars="200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总</w:t>
      </w:r>
      <w:r>
        <w:rPr>
          <w:rFonts w:hint="eastAsia" w:ascii="宋体" w:hAnsi="宋体" w:eastAsia="宋体" w:cs="Batang"/>
          <w:sz w:val="32"/>
          <w:szCs w:val="32"/>
        </w:rPr>
        <w:t>排</w:t>
      </w:r>
      <w:r>
        <w:rPr>
          <w:rFonts w:hint="eastAsia" w:ascii="宋体" w:hAnsi="宋体" w:eastAsia="宋体"/>
          <w:sz w:val="32"/>
          <w:szCs w:val="32"/>
        </w:rPr>
        <w:t>口</w:t>
      </w:r>
      <w:r>
        <w:rPr>
          <w:rFonts w:ascii="宋体" w:hAnsi="宋体" w:eastAsia="宋体"/>
          <w:sz w:val="32"/>
          <w:szCs w:val="32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个</w:t>
      </w:r>
      <w:r>
        <w:rPr>
          <w:rFonts w:hint="eastAsia" w:ascii="宋体" w:hAnsi="宋体" w:eastAsia="宋体" w:cs="Batang"/>
          <w:sz w:val="32"/>
          <w:szCs w:val="32"/>
        </w:rPr>
        <w:t>点位</w:t>
      </w:r>
      <w:r>
        <w:rPr>
          <w:rFonts w:hint="eastAsia" w:ascii="宋体" w:hAnsi="宋体" w:eastAsia="宋体"/>
          <w:sz w:val="32"/>
          <w:szCs w:val="32"/>
        </w:rPr>
        <w:t>。</w:t>
      </w:r>
    </w:p>
    <w:p>
      <w:pPr>
        <w:spacing w:line="540" w:lineRule="exact"/>
        <w:ind w:firstLine="640" w:firstLineChars="200"/>
        <w:jc w:val="left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kern w:val="0"/>
          <w:sz w:val="32"/>
          <w:szCs w:val="32"/>
        </w:rPr>
        <w:t>2</w:t>
      </w:r>
      <w:r>
        <w:rPr>
          <w:rFonts w:hint="eastAsia" w:ascii="宋体" w:hAnsi="宋体" w:eastAsia="宋体"/>
          <w:kern w:val="0"/>
          <w:sz w:val="32"/>
          <w:szCs w:val="32"/>
        </w:rPr>
        <w:t>、</w:t>
      </w:r>
      <w:r>
        <w:rPr>
          <w:rFonts w:hint="eastAsia" w:ascii="宋体" w:hAnsi="宋体" w:eastAsia="宋体" w:cs="宋体"/>
          <w:kern w:val="0"/>
          <w:sz w:val="32"/>
          <w:szCs w:val="32"/>
        </w:rPr>
        <w:t>监测</w:t>
      </w:r>
      <w:r>
        <w:rPr>
          <w:rFonts w:hint="eastAsia" w:ascii="宋体" w:hAnsi="宋体" w:eastAsia="宋体" w:cs="Batang"/>
          <w:kern w:val="0"/>
          <w:sz w:val="32"/>
          <w:szCs w:val="32"/>
        </w:rPr>
        <w:t>指</w:t>
      </w:r>
      <w:r>
        <w:rPr>
          <w:rFonts w:hint="eastAsia" w:ascii="宋体" w:hAnsi="宋体" w:eastAsia="宋体" w:cs="宋体"/>
          <w:kern w:val="0"/>
          <w:sz w:val="32"/>
          <w:szCs w:val="32"/>
        </w:rPr>
        <w:t>标</w:t>
      </w:r>
    </w:p>
    <w:p>
      <w:pPr>
        <w:spacing w:line="540" w:lineRule="exact"/>
        <w:ind w:firstLine="640" w:firstLineChars="200"/>
        <w:jc w:val="left"/>
        <w:rPr>
          <w:rFonts w:ascii="宋体" w:hAnsi="宋体" w:eastAsia="宋体"/>
          <w:kern w:val="0"/>
          <w:sz w:val="32"/>
          <w:szCs w:val="32"/>
        </w:rPr>
      </w:pPr>
      <w:r>
        <w:rPr>
          <w:rFonts w:hint="eastAsia" w:ascii="宋体" w:hAnsi="宋体" w:eastAsia="宋体"/>
          <w:kern w:val="0"/>
          <w:sz w:val="32"/>
          <w:szCs w:val="32"/>
        </w:rPr>
        <w:t>化</w:t>
      </w:r>
      <w:r>
        <w:rPr>
          <w:rFonts w:hint="eastAsia" w:ascii="宋体" w:hAnsi="宋体" w:eastAsia="宋体" w:cs="宋体"/>
          <w:kern w:val="0"/>
          <w:sz w:val="32"/>
          <w:szCs w:val="32"/>
        </w:rPr>
        <w:t>学</w:t>
      </w:r>
      <w:r>
        <w:rPr>
          <w:rFonts w:hint="eastAsia" w:ascii="宋体" w:hAnsi="宋体" w:eastAsia="宋体" w:cs="Batang"/>
          <w:kern w:val="0"/>
          <w:sz w:val="32"/>
          <w:szCs w:val="32"/>
        </w:rPr>
        <w:t>需</w:t>
      </w:r>
      <w:r>
        <w:rPr>
          <w:rFonts w:hint="eastAsia" w:ascii="宋体" w:hAnsi="宋体" w:eastAsia="宋体" w:cs="宋体"/>
          <w:kern w:val="0"/>
          <w:sz w:val="32"/>
          <w:szCs w:val="32"/>
        </w:rPr>
        <w:t>氧</w:t>
      </w:r>
      <w:r>
        <w:rPr>
          <w:rFonts w:hint="eastAsia" w:ascii="宋体" w:hAnsi="宋体" w:eastAsia="宋体" w:cs="Batang"/>
          <w:kern w:val="0"/>
          <w:sz w:val="32"/>
          <w:szCs w:val="32"/>
        </w:rPr>
        <w:t>量、</w:t>
      </w:r>
      <w:r>
        <w:rPr>
          <w:rFonts w:hint="eastAsia" w:ascii="宋体" w:hAnsi="宋体" w:eastAsia="宋体" w:cs="宋体"/>
          <w:kern w:val="0"/>
          <w:sz w:val="32"/>
          <w:szCs w:val="32"/>
        </w:rPr>
        <w:t>氨氮</w:t>
      </w:r>
      <w:r>
        <w:rPr>
          <w:rFonts w:hint="eastAsia" w:ascii="宋体" w:hAnsi="宋体" w:eastAsia="宋体" w:cs="Batang"/>
          <w:kern w:val="0"/>
          <w:sz w:val="32"/>
          <w:szCs w:val="32"/>
        </w:rPr>
        <w:t>、</w:t>
      </w:r>
    </w:p>
    <w:p>
      <w:pPr>
        <w:spacing w:line="540" w:lineRule="exact"/>
        <w:ind w:firstLine="640" w:firstLineChars="200"/>
        <w:jc w:val="left"/>
        <w:rPr>
          <w:rFonts w:ascii="宋体" w:hAnsi="宋体" w:eastAsia="宋体"/>
          <w:kern w:val="0"/>
          <w:sz w:val="32"/>
          <w:szCs w:val="32"/>
        </w:rPr>
      </w:pPr>
      <w:r>
        <w:rPr>
          <w:rFonts w:ascii="宋体" w:hAnsi="宋体" w:eastAsia="宋体"/>
          <w:kern w:val="0"/>
          <w:sz w:val="32"/>
          <w:szCs w:val="32"/>
        </w:rPr>
        <w:t>3</w:t>
      </w:r>
      <w:r>
        <w:rPr>
          <w:rFonts w:hint="eastAsia" w:ascii="宋体" w:hAnsi="宋体" w:eastAsia="宋体"/>
          <w:kern w:val="0"/>
          <w:sz w:val="32"/>
          <w:szCs w:val="32"/>
        </w:rPr>
        <w:t>、</w:t>
      </w:r>
      <w:r>
        <w:rPr>
          <w:rFonts w:hint="eastAsia" w:ascii="宋体" w:hAnsi="宋体" w:eastAsia="宋体" w:cs="宋体"/>
          <w:kern w:val="0"/>
          <w:sz w:val="32"/>
          <w:szCs w:val="32"/>
        </w:rPr>
        <w:t>监测频</w:t>
      </w:r>
      <w:r>
        <w:rPr>
          <w:rFonts w:hint="eastAsia" w:ascii="宋体" w:hAnsi="宋体" w:eastAsia="宋体" w:cs="Batang"/>
          <w:kern w:val="0"/>
          <w:sz w:val="32"/>
          <w:szCs w:val="32"/>
        </w:rPr>
        <w:t>次</w:t>
      </w:r>
    </w:p>
    <w:p>
      <w:pPr>
        <w:snapToGrid w:val="0"/>
        <w:spacing w:line="540" w:lineRule="exact"/>
        <w:ind w:firstLine="640" w:firstLineChars="200"/>
        <w:jc w:val="left"/>
        <w:rPr>
          <w:rFonts w:ascii="宋体" w:hAnsi="宋体" w:eastAsia="宋体"/>
          <w:kern w:val="0"/>
          <w:sz w:val="32"/>
          <w:szCs w:val="32"/>
        </w:rPr>
      </w:pPr>
      <w:r>
        <w:rPr>
          <w:rFonts w:ascii="宋体" w:hAnsi="宋体" w:eastAsia="宋体"/>
          <w:kern w:val="0"/>
          <w:sz w:val="32"/>
          <w:szCs w:val="32"/>
        </w:rPr>
        <w:t>3.1</w:t>
      </w:r>
      <w:r>
        <w:rPr>
          <w:rFonts w:hint="eastAsia" w:ascii="宋体" w:hAnsi="宋体" w:eastAsia="宋体"/>
          <w:kern w:val="0"/>
          <w:sz w:val="32"/>
          <w:szCs w:val="32"/>
        </w:rPr>
        <w:t>自</w:t>
      </w:r>
      <w:r>
        <w:rPr>
          <w:rFonts w:hint="eastAsia" w:ascii="宋体" w:hAnsi="宋体" w:eastAsia="宋体" w:cs="宋体"/>
          <w:kern w:val="0"/>
          <w:sz w:val="32"/>
          <w:szCs w:val="32"/>
        </w:rPr>
        <w:t>动监测</w:t>
      </w:r>
    </w:p>
    <w:p>
      <w:pPr>
        <w:snapToGrid w:val="0"/>
        <w:spacing w:line="540" w:lineRule="exact"/>
        <w:ind w:firstLine="640" w:firstLineChars="200"/>
        <w:jc w:val="left"/>
        <w:rPr>
          <w:rFonts w:ascii="宋体" w:hAnsi="宋体" w:eastAsia="宋体"/>
          <w:kern w:val="0"/>
          <w:sz w:val="32"/>
          <w:szCs w:val="32"/>
        </w:rPr>
      </w:pPr>
      <w:r>
        <w:rPr>
          <w:rFonts w:hint="eastAsia" w:ascii="宋体" w:hAnsi="宋体" w:eastAsia="宋体"/>
          <w:kern w:val="0"/>
          <w:sz w:val="32"/>
          <w:szCs w:val="32"/>
        </w:rPr>
        <w:t>化</w:t>
      </w:r>
      <w:r>
        <w:rPr>
          <w:rFonts w:hint="eastAsia" w:ascii="宋体" w:hAnsi="宋体" w:eastAsia="宋体" w:cs="宋体"/>
          <w:kern w:val="0"/>
          <w:sz w:val="32"/>
          <w:szCs w:val="32"/>
        </w:rPr>
        <w:t>学</w:t>
      </w:r>
      <w:r>
        <w:rPr>
          <w:rFonts w:hint="eastAsia" w:ascii="宋体" w:hAnsi="宋体" w:eastAsia="宋体" w:cs="Batang"/>
          <w:kern w:val="0"/>
          <w:sz w:val="32"/>
          <w:szCs w:val="32"/>
        </w:rPr>
        <w:t>需</w:t>
      </w:r>
      <w:r>
        <w:rPr>
          <w:rFonts w:hint="eastAsia" w:ascii="宋体" w:hAnsi="宋体" w:eastAsia="宋体" w:cs="宋体"/>
          <w:kern w:val="0"/>
          <w:sz w:val="32"/>
          <w:szCs w:val="32"/>
        </w:rPr>
        <w:t>氧</w:t>
      </w:r>
      <w:r>
        <w:rPr>
          <w:rFonts w:hint="eastAsia" w:ascii="宋体" w:hAnsi="宋体" w:eastAsia="宋体" w:cs="Batang"/>
          <w:kern w:val="0"/>
          <w:sz w:val="32"/>
          <w:szCs w:val="32"/>
        </w:rPr>
        <w:t>量、</w:t>
      </w:r>
      <w:r>
        <w:rPr>
          <w:rFonts w:hint="eastAsia" w:ascii="宋体" w:hAnsi="宋体" w:eastAsia="宋体" w:cs="宋体"/>
          <w:kern w:val="0"/>
          <w:sz w:val="32"/>
          <w:szCs w:val="32"/>
        </w:rPr>
        <w:t>氨氮</w:t>
      </w:r>
      <w:r>
        <w:rPr>
          <w:rFonts w:hint="eastAsia" w:ascii="宋体" w:hAnsi="宋体" w:eastAsia="宋体"/>
          <w:kern w:val="0"/>
          <w:sz w:val="32"/>
          <w:szCs w:val="32"/>
        </w:rPr>
        <w:t>全天</w:t>
      </w:r>
      <w:r>
        <w:rPr>
          <w:rFonts w:ascii="宋体" w:hAnsi="宋体" w:eastAsia="宋体"/>
          <w:kern w:val="0"/>
          <w:sz w:val="32"/>
          <w:szCs w:val="32"/>
        </w:rPr>
        <w:t>24</w:t>
      </w:r>
      <w:r>
        <w:rPr>
          <w:rFonts w:hint="eastAsia" w:ascii="宋体" w:hAnsi="宋体" w:eastAsia="宋体"/>
          <w:kern w:val="0"/>
          <w:sz w:val="32"/>
          <w:szCs w:val="32"/>
        </w:rPr>
        <w:t>小时</w:t>
      </w:r>
      <w:r>
        <w:rPr>
          <w:rFonts w:hint="eastAsia" w:ascii="宋体" w:hAnsi="宋体" w:eastAsia="宋体" w:cs="宋体"/>
          <w:kern w:val="0"/>
          <w:sz w:val="32"/>
          <w:szCs w:val="32"/>
        </w:rPr>
        <w:t>连续监测</w:t>
      </w:r>
      <w:r>
        <w:rPr>
          <w:rFonts w:hint="eastAsia" w:ascii="宋体" w:hAnsi="宋体" w:eastAsia="宋体" w:cs="Batang"/>
          <w:kern w:val="0"/>
          <w:sz w:val="32"/>
          <w:szCs w:val="32"/>
        </w:rPr>
        <w:t>。</w:t>
      </w:r>
    </w:p>
    <w:p>
      <w:pPr>
        <w:snapToGrid w:val="0"/>
        <w:spacing w:line="540" w:lineRule="exact"/>
        <w:ind w:firstLine="640" w:firstLineChars="200"/>
        <w:jc w:val="left"/>
        <w:rPr>
          <w:rFonts w:ascii="宋体" w:hAnsi="宋体" w:eastAsia="宋体"/>
          <w:kern w:val="0"/>
          <w:sz w:val="32"/>
          <w:szCs w:val="32"/>
        </w:rPr>
      </w:pPr>
      <w:r>
        <w:rPr>
          <w:rFonts w:ascii="宋体" w:hAnsi="宋体" w:eastAsia="宋体"/>
          <w:kern w:val="0"/>
          <w:sz w:val="32"/>
          <w:szCs w:val="32"/>
        </w:rPr>
        <w:t>4</w:t>
      </w:r>
      <w:r>
        <w:rPr>
          <w:rFonts w:hint="eastAsia" w:ascii="宋体" w:hAnsi="宋体" w:eastAsia="宋体"/>
          <w:kern w:val="0"/>
          <w:sz w:val="32"/>
          <w:szCs w:val="32"/>
        </w:rPr>
        <w:t>、</w:t>
      </w:r>
      <w:r>
        <w:rPr>
          <w:rFonts w:hint="eastAsia" w:ascii="宋体" w:hAnsi="宋体" w:eastAsia="宋体" w:cs="宋体"/>
          <w:kern w:val="0"/>
          <w:sz w:val="32"/>
          <w:szCs w:val="32"/>
        </w:rPr>
        <w:t>执</w:t>
      </w:r>
      <w:r>
        <w:rPr>
          <w:rFonts w:hint="eastAsia" w:ascii="宋体" w:hAnsi="宋体" w:eastAsia="宋体" w:cs="Batang"/>
          <w:kern w:val="0"/>
          <w:sz w:val="32"/>
          <w:szCs w:val="32"/>
        </w:rPr>
        <w:t>行排放</w:t>
      </w:r>
      <w:r>
        <w:rPr>
          <w:rFonts w:hint="eastAsia" w:ascii="宋体" w:hAnsi="宋体" w:eastAsia="宋体" w:cs="宋体"/>
          <w:kern w:val="0"/>
          <w:sz w:val="32"/>
          <w:szCs w:val="32"/>
        </w:rPr>
        <w:t>标</w:t>
      </w:r>
      <w:r>
        <w:rPr>
          <w:rFonts w:hint="eastAsia" w:ascii="宋体" w:hAnsi="宋体" w:eastAsia="宋体" w:cs="Batang"/>
          <w:kern w:val="0"/>
          <w:sz w:val="32"/>
          <w:szCs w:val="32"/>
        </w:rPr>
        <w:t>准及其限</w:t>
      </w:r>
      <w:r>
        <w:rPr>
          <w:rFonts w:hint="eastAsia" w:ascii="宋体" w:hAnsi="宋体" w:eastAsia="宋体" w:cs="宋体"/>
          <w:kern w:val="0"/>
          <w:sz w:val="32"/>
          <w:szCs w:val="32"/>
        </w:rPr>
        <w:t>值</w:t>
      </w:r>
    </w:p>
    <w:p>
      <w:pPr>
        <w:snapToGrid w:val="0"/>
        <w:spacing w:line="540" w:lineRule="exact"/>
        <w:ind w:firstLine="640" w:firstLineChars="200"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污水排放标准执行标准《污水综合排放标准》（</w:t>
      </w:r>
      <w:r>
        <w:rPr>
          <w:rFonts w:ascii="宋体" w:hAnsi="宋体" w:eastAsia="宋体"/>
          <w:color w:val="000000"/>
          <w:sz w:val="32"/>
          <w:szCs w:val="32"/>
        </w:rPr>
        <w:t>GB8978-1996</w:t>
      </w:r>
      <w:r>
        <w:rPr>
          <w:rFonts w:hint="eastAsia" w:ascii="宋体" w:hAnsi="宋体" w:eastAsia="宋体"/>
          <w:color w:val="000000"/>
          <w:sz w:val="32"/>
          <w:szCs w:val="32"/>
        </w:rPr>
        <w:t>）一级标准。</w:t>
      </w:r>
    </w:p>
    <w:p>
      <w:pPr>
        <w:snapToGrid w:val="0"/>
        <w:spacing w:line="540" w:lineRule="exact"/>
        <w:ind w:firstLine="640" w:firstLineChars="200"/>
        <w:jc w:val="left"/>
        <w:rPr>
          <w:rFonts w:ascii="宋体" w:hAnsi="宋体" w:eastAsia="宋体"/>
          <w:kern w:val="0"/>
          <w:sz w:val="32"/>
          <w:szCs w:val="32"/>
        </w:rPr>
      </w:pPr>
      <w:r>
        <w:rPr>
          <w:rFonts w:ascii="宋体" w:hAnsi="宋体" w:eastAsia="宋体"/>
          <w:kern w:val="0"/>
          <w:sz w:val="32"/>
          <w:szCs w:val="32"/>
        </w:rPr>
        <w:t>5</w:t>
      </w:r>
      <w:r>
        <w:rPr>
          <w:rFonts w:hint="eastAsia" w:ascii="宋体" w:hAnsi="宋体" w:eastAsia="宋体"/>
          <w:kern w:val="0"/>
          <w:sz w:val="32"/>
          <w:szCs w:val="32"/>
        </w:rPr>
        <w:t>、</w:t>
      </w:r>
      <w:r>
        <w:rPr>
          <w:rFonts w:hint="eastAsia" w:ascii="宋体" w:hAnsi="宋体" w:eastAsia="宋体" w:cs="宋体"/>
          <w:kern w:val="0"/>
          <w:sz w:val="32"/>
          <w:szCs w:val="32"/>
        </w:rPr>
        <w:t>监测</w:t>
      </w:r>
      <w:r>
        <w:rPr>
          <w:rFonts w:hint="eastAsia" w:ascii="宋体" w:hAnsi="宋体" w:eastAsia="宋体" w:cs="Batang"/>
          <w:kern w:val="0"/>
          <w:sz w:val="32"/>
          <w:szCs w:val="32"/>
        </w:rPr>
        <w:t>方法和</w:t>
      </w:r>
      <w:r>
        <w:rPr>
          <w:rFonts w:hint="eastAsia" w:ascii="宋体" w:hAnsi="宋体" w:eastAsia="宋体" w:cs="宋体"/>
          <w:kern w:val="0"/>
          <w:sz w:val="32"/>
          <w:szCs w:val="32"/>
        </w:rPr>
        <w:t>仪</w:t>
      </w:r>
      <w:r>
        <w:rPr>
          <w:rFonts w:hint="eastAsia" w:ascii="宋体" w:hAnsi="宋体" w:eastAsia="宋体" w:cs="Batang"/>
          <w:kern w:val="0"/>
          <w:sz w:val="32"/>
          <w:szCs w:val="32"/>
        </w:rPr>
        <w:t>器</w:t>
      </w:r>
    </w:p>
    <w:p>
      <w:pPr>
        <w:snapToGrid w:val="0"/>
        <w:spacing w:line="540" w:lineRule="exact"/>
        <w:ind w:firstLine="640" w:firstLineChars="200"/>
        <w:jc w:val="left"/>
        <w:rPr>
          <w:rFonts w:ascii="宋体" w:hAnsi="宋体" w:eastAsia="宋体" w:cs="Batang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按照</w:t>
      </w:r>
      <w:r>
        <w:rPr>
          <w:rFonts w:hint="eastAsia" w:ascii="宋体" w:hAnsi="宋体" w:eastAsia="宋体" w:cs="宋体"/>
          <w:sz w:val="32"/>
          <w:szCs w:val="32"/>
        </w:rPr>
        <w:t>环</w:t>
      </w:r>
      <w:r>
        <w:rPr>
          <w:rFonts w:hint="eastAsia" w:ascii="宋体" w:hAnsi="宋体" w:eastAsia="宋体" w:cs="Batang"/>
          <w:sz w:val="32"/>
          <w:szCs w:val="32"/>
        </w:rPr>
        <w:t>境保</w:t>
      </w:r>
      <w:r>
        <w:rPr>
          <w:rFonts w:hint="eastAsia" w:ascii="宋体" w:hAnsi="宋体" w:eastAsia="宋体" w:cs="宋体"/>
          <w:sz w:val="32"/>
          <w:szCs w:val="32"/>
        </w:rPr>
        <w:t>护</w:t>
      </w:r>
      <w:r>
        <w:rPr>
          <w:rFonts w:hint="eastAsia" w:ascii="宋体" w:hAnsi="宋体" w:eastAsia="宋体" w:cs="Batang"/>
          <w:sz w:val="32"/>
          <w:szCs w:val="32"/>
        </w:rPr>
        <w:t>部</w:t>
      </w:r>
      <w:r>
        <w:rPr>
          <w:rFonts w:hint="eastAsia" w:ascii="宋体" w:hAnsi="宋体" w:eastAsia="宋体" w:cs="宋体"/>
          <w:sz w:val="32"/>
          <w:szCs w:val="32"/>
        </w:rPr>
        <w:t>发</w:t>
      </w:r>
      <w:r>
        <w:rPr>
          <w:rFonts w:hint="eastAsia" w:ascii="宋体" w:hAnsi="宋体" w:eastAsia="宋体" w:cs="Batang"/>
          <w:sz w:val="32"/>
          <w:szCs w:val="32"/>
        </w:rPr>
        <w:t>布的</w:t>
      </w:r>
      <w:r>
        <w:rPr>
          <w:rFonts w:hint="eastAsia" w:ascii="宋体" w:hAnsi="宋体" w:eastAsia="宋体" w:cs="宋体"/>
          <w:sz w:val="32"/>
          <w:szCs w:val="32"/>
        </w:rPr>
        <w:t>国</w:t>
      </w:r>
      <w:r>
        <w:rPr>
          <w:rFonts w:hint="eastAsia" w:ascii="宋体" w:hAnsi="宋体" w:eastAsia="宋体" w:cs="Batang"/>
          <w:sz w:val="32"/>
          <w:szCs w:val="32"/>
        </w:rPr>
        <w:t>家</w:t>
      </w:r>
      <w:r>
        <w:rPr>
          <w:rFonts w:hint="eastAsia" w:ascii="宋体" w:hAnsi="宋体" w:eastAsia="宋体" w:cs="宋体"/>
          <w:sz w:val="32"/>
          <w:szCs w:val="32"/>
        </w:rPr>
        <w:t>环</w:t>
      </w:r>
      <w:r>
        <w:rPr>
          <w:rFonts w:hint="eastAsia" w:ascii="宋体" w:hAnsi="宋体" w:eastAsia="宋体" w:cs="Batang"/>
          <w:sz w:val="32"/>
          <w:szCs w:val="32"/>
        </w:rPr>
        <w:t>境</w:t>
      </w:r>
      <w:r>
        <w:rPr>
          <w:rFonts w:hint="eastAsia" w:ascii="宋体" w:hAnsi="宋体" w:eastAsia="宋体" w:cs="宋体"/>
          <w:sz w:val="32"/>
          <w:szCs w:val="32"/>
        </w:rPr>
        <w:t>监测</w:t>
      </w:r>
      <w:r>
        <w:rPr>
          <w:rFonts w:hint="eastAsia" w:ascii="宋体" w:hAnsi="宋体" w:eastAsia="宋体" w:cs="Batang"/>
          <w:sz w:val="32"/>
          <w:szCs w:val="32"/>
        </w:rPr>
        <w:t>技</w:t>
      </w:r>
      <w:r>
        <w:rPr>
          <w:rFonts w:hint="eastAsia" w:ascii="宋体" w:hAnsi="宋体" w:eastAsia="宋体" w:cs="宋体"/>
          <w:sz w:val="32"/>
          <w:szCs w:val="32"/>
        </w:rPr>
        <w:t>术规</w:t>
      </w:r>
      <w:r>
        <w:rPr>
          <w:rFonts w:hint="eastAsia" w:ascii="宋体" w:hAnsi="宋体" w:eastAsia="宋体" w:cs="Batang"/>
          <w:sz w:val="32"/>
          <w:szCs w:val="32"/>
        </w:rPr>
        <w:t>范和方法。</w:t>
      </w:r>
      <w:r>
        <w:rPr>
          <w:rFonts w:hint="eastAsia" w:ascii="宋体" w:hAnsi="宋体" w:eastAsia="宋体" w:cs="宋体"/>
          <w:sz w:val="32"/>
          <w:szCs w:val="32"/>
        </w:rPr>
        <w:t>国</w:t>
      </w:r>
      <w:r>
        <w:rPr>
          <w:rFonts w:hint="eastAsia" w:ascii="宋体" w:hAnsi="宋体" w:eastAsia="宋体" w:cs="Batang"/>
          <w:sz w:val="32"/>
          <w:szCs w:val="32"/>
        </w:rPr>
        <w:t>家</w:t>
      </w:r>
      <w:r>
        <w:rPr>
          <w:rFonts w:hint="eastAsia" w:ascii="宋体" w:hAnsi="宋体" w:eastAsia="宋体" w:cs="宋体"/>
          <w:sz w:val="32"/>
          <w:szCs w:val="32"/>
        </w:rPr>
        <w:t>环</w:t>
      </w:r>
      <w:r>
        <w:rPr>
          <w:rFonts w:hint="eastAsia" w:ascii="宋体" w:hAnsi="宋体" w:eastAsia="宋体" w:cs="Batang"/>
          <w:sz w:val="32"/>
          <w:szCs w:val="32"/>
        </w:rPr>
        <w:t>境</w:t>
      </w:r>
      <w:r>
        <w:rPr>
          <w:rFonts w:hint="eastAsia" w:ascii="宋体" w:hAnsi="宋体" w:eastAsia="宋体" w:cs="宋体"/>
          <w:sz w:val="32"/>
          <w:szCs w:val="32"/>
        </w:rPr>
        <w:t>监测</w:t>
      </w:r>
      <w:r>
        <w:rPr>
          <w:rFonts w:hint="eastAsia" w:ascii="宋体" w:hAnsi="宋体" w:eastAsia="宋体" w:cs="Batang"/>
          <w:sz w:val="32"/>
          <w:szCs w:val="32"/>
        </w:rPr>
        <w:t>技</w:t>
      </w:r>
      <w:r>
        <w:rPr>
          <w:rFonts w:hint="eastAsia" w:ascii="宋体" w:hAnsi="宋体" w:eastAsia="宋体" w:cs="宋体"/>
          <w:sz w:val="32"/>
          <w:szCs w:val="32"/>
        </w:rPr>
        <w:t>术规</w:t>
      </w:r>
      <w:r>
        <w:rPr>
          <w:rFonts w:hint="eastAsia" w:ascii="宋体" w:hAnsi="宋体" w:eastAsia="宋体" w:cs="Batang"/>
          <w:sz w:val="32"/>
          <w:szCs w:val="32"/>
        </w:rPr>
        <w:t>范和方法中未作</w:t>
      </w:r>
      <w:r>
        <w:rPr>
          <w:rFonts w:hint="eastAsia" w:ascii="宋体" w:hAnsi="宋体" w:eastAsia="宋体" w:cs="宋体"/>
          <w:sz w:val="32"/>
          <w:szCs w:val="32"/>
        </w:rPr>
        <w:t>规</w:t>
      </w:r>
      <w:r>
        <w:rPr>
          <w:rFonts w:hint="eastAsia" w:ascii="宋体" w:hAnsi="宋体" w:eastAsia="宋体" w:cs="Batang"/>
          <w:sz w:val="32"/>
          <w:szCs w:val="32"/>
        </w:rPr>
        <w:t>定的，可以采用</w:t>
      </w:r>
      <w:r>
        <w:rPr>
          <w:rFonts w:hint="eastAsia" w:ascii="宋体" w:hAnsi="宋体" w:eastAsia="宋体" w:cs="宋体"/>
          <w:sz w:val="32"/>
          <w:szCs w:val="32"/>
        </w:rPr>
        <w:t>国际标</w:t>
      </w:r>
      <w:r>
        <w:rPr>
          <w:rFonts w:hint="eastAsia" w:ascii="宋体" w:hAnsi="宋体" w:eastAsia="宋体" w:cs="Batang"/>
          <w:sz w:val="32"/>
          <w:szCs w:val="32"/>
        </w:rPr>
        <w:t>准和</w:t>
      </w:r>
      <w:r>
        <w:rPr>
          <w:rFonts w:hint="eastAsia" w:ascii="宋体" w:hAnsi="宋体" w:eastAsia="宋体" w:cs="宋体"/>
          <w:sz w:val="32"/>
          <w:szCs w:val="32"/>
        </w:rPr>
        <w:t>国</w:t>
      </w:r>
      <w:r>
        <w:rPr>
          <w:rFonts w:hint="eastAsia" w:ascii="宋体" w:hAnsi="宋体" w:eastAsia="宋体" w:cs="Batang"/>
          <w:sz w:val="32"/>
          <w:szCs w:val="32"/>
        </w:rPr>
        <w:t>外先</w:t>
      </w:r>
      <w:r>
        <w:rPr>
          <w:rFonts w:hint="eastAsia" w:ascii="宋体" w:hAnsi="宋体" w:eastAsia="宋体" w:cs="宋体"/>
          <w:sz w:val="32"/>
          <w:szCs w:val="32"/>
        </w:rPr>
        <w:t>进标</w:t>
      </w:r>
      <w:r>
        <w:rPr>
          <w:rFonts w:hint="eastAsia" w:ascii="宋体" w:hAnsi="宋体" w:eastAsia="宋体" w:cs="Batang"/>
          <w:sz w:val="32"/>
          <w:szCs w:val="32"/>
        </w:rPr>
        <w:t>准。</w:t>
      </w:r>
    </w:p>
    <w:p>
      <w:pPr>
        <w:snapToGrid w:val="0"/>
        <w:spacing w:line="540" w:lineRule="exact"/>
        <w:ind w:firstLine="643" w:firstLineChars="200"/>
        <w:jc w:val="left"/>
        <w:rPr>
          <w:rFonts w:ascii="宋体" w:hAnsi="宋体" w:eastAsia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kern w:val="0"/>
          <w:sz w:val="32"/>
          <w:szCs w:val="32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质</w:t>
      </w:r>
      <w:r>
        <w:rPr>
          <w:rFonts w:hint="eastAsia" w:ascii="宋体" w:hAnsi="宋体" w:eastAsia="宋体" w:cs="Batang"/>
          <w:b/>
          <w:bCs/>
          <w:color w:val="000000"/>
          <w:sz w:val="32"/>
          <w:szCs w:val="32"/>
        </w:rPr>
        <w:t>量控制和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质</w:t>
      </w:r>
      <w:r>
        <w:rPr>
          <w:rFonts w:hint="eastAsia" w:ascii="宋体" w:hAnsi="宋体" w:eastAsia="宋体" w:cs="Batang"/>
          <w:b/>
          <w:bCs/>
          <w:color w:val="000000"/>
          <w:sz w:val="32"/>
          <w:szCs w:val="32"/>
        </w:rPr>
        <w:t>量保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证</w:t>
      </w:r>
      <w:bookmarkStart w:id="0" w:name="_GoBack"/>
      <w:bookmarkEnd w:id="0"/>
    </w:p>
    <w:p>
      <w:pPr>
        <w:spacing w:line="540" w:lineRule="exact"/>
        <w:ind w:firstLine="640" w:firstLineChars="200"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（一）按照《固定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污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染源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监测质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量保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证与质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量控制技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术规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范》（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试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行）（</w:t>
      </w:r>
      <w:r>
        <w:rPr>
          <w:rFonts w:ascii="宋体" w:hAnsi="宋体" w:eastAsia="宋体"/>
          <w:color w:val="000000"/>
          <w:sz w:val="32"/>
          <w:szCs w:val="32"/>
        </w:rPr>
        <w:t>HJ/T373-2007</w:t>
      </w:r>
      <w:r>
        <w:rPr>
          <w:rFonts w:hint="eastAsia" w:ascii="宋体" w:hAnsi="宋体" w:eastAsia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进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行。</w:t>
      </w:r>
    </w:p>
    <w:p>
      <w:pPr>
        <w:spacing w:line="540" w:lineRule="exact"/>
        <w:ind w:firstLine="640" w:firstLineChars="200"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（二）合理布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设监测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点，保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证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各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监测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点位布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设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的科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学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性和可比性。采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样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人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员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遵守采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样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操作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规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程，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认真填写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采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样记录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，按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规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定保存、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运输样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品。同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时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，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监测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分析方法均采用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国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家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标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准或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环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保部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颁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布的分析方法，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监测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人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员经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考核持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证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上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岗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。所有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监测仪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器、量具均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经过质检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部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门检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定合格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并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在</w:t>
      </w:r>
      <w:r>
        <w:rPr>
          <w:rFonts w:hint="eastAsia" w:ascii="宋体" w:hAnsi="宋体" w:eastAsia="宋体"/>
          <w:color w:val="000000"/>
          <w:sz w:val="32"/>
          <w:szCs w:val="32"/>
        </w:rPr>
        <w:t>有效期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内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使用。</w:t>
      </w:r>
    </w:p>
    <w:p>
      <w:pPr>
        <w:spacing w:line="540" w:lineRule="exact"/>
        <w:ind w:firstLine="640" w:firstLineChars="200"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（三）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严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格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执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行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监测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方案。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认真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如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实填写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各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项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自行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监测记录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及校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验记录并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妥善保存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记录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台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帐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，包括采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样记录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样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品保存、分析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测试记录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监测报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告等。</w:t>
      </w:r>
    </w:p>
    <w:p>
      <w:pPr>
        <w:numPr>
          <w:ilvl w:val="0"/>
          <w:numId w:val="1"/>
        </w:numPr>
        <w:spacing w:line="540" w:lineRule="exact"/>
        <w:jc w:val="left"/>
        <w:rPr>
          <w:rFonts w:ascii="宋体" w:hAnsi="宋体" w:eastAsia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自行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监测结</w:t>
      </w:r>
      <w:r>
        <w:rPr>
          <w:rFonts w:hint="eastAsia" w:ascii="宋体" w:hAnsi="宋体" w:eastAsia="宋体" w:cs="Batang"/>
          <w:b/>
          <w:bCs/>
          <w:color w:val="000000"/>
          <w:sz w:val="32"/>
          <w:szCs w:val="32"/>
        </w:rPr>
        <w:t>果公布</w:t>
      </w:r>
    </w:p>
    <w:p>
      <w:pPr>
        <w:pStyle w:val="8"/>
        <w:spacing w:line="540" w:lineRule="exact"/>
        <w:ind w:firstLine="640"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（一）对外公布方式：在齐齐哈尔环保在线网站窗口公布。</w:t>
      </w:r>
    </w:p>
    <w:p>
      <w:pPr>
        <w:pStyle w:val="8"/>
        <w:spacing w:line="540" w:lineRule="exact"/>
        <w:ind w:firstLine="640"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（二）公布内容：企业名称、排放口及监测点位、监测时间、污染物种类及浓度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。</w:t>
      </w:r>
    </w:p>
    <w:p>
      <w:pPr>
        <w:snapToGrid w:val="0"/>
        <w:spacing w:line="540" w:lineRule="exact"/>
        <w:ind w:firstLine="640" w:firstLineChars="200"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（三）公布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时</w:t>
      </w:r>
      <w:r>
        <w:rPr>
          <w:rFonts w:hint="eastAsia" w:ascii="宋体" w:hAnsi="宋体" w:eastAsia="宋体" w:cs="Batang"/>
          <w:color w:val="000000"/>
          <w:sz w:val="32"/>
          <w:szCs w:val="32"/>
        </w:rPr>
        <w:t>限：</w:t>
      </w:r>
    </w:p>
    <w:p>
      <w:pPr>
        <w:ind w:firstLine="56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</w:t>
      </w:r>
      <w:r>
        <w:rPr>
          <w:rFonts w:hint="eastAsia" w:ascii="宋体" w:hAnsi="宋体"/>
          <w:sz w:val="32"/>
          <w:szCs w:val="32"/>
        </w:rPr>
        <w:t>、自动监测结果</w:t>
      </w:r>
    </w:p>
    <w:p>
      <w:pPr>
        <w:ind w:firstLine="56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自动监测数据实时公布监测结果（废水自动监测设备为每2小时均值）。</w:t>
      </w:r>
    </w:p>
    <w:p>
      <w:pPr>
        <w:ind w:firstLine="56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</w:rPr>
        <w:t>、手工监测结果</w:t>
      </w:r>
    </w:p>
    <w:p>
      <w:pPr>
        <w:snapToGrid w:val="0"/>
        <w:spacing w:line="54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手工监测结果应于每次监测完的次日公布。</w:t>
      </w:r>
    </w:p>
    <w:p>
      <w:pPr>
        <w:snapToGrid w:val="0"/>
        <w:spacing w:line="540" w:lineRule="exact"/>
        <w:ind w:firstLine="640" w:firstLineChars="200"/>
        <w:jc w:val="left"/>
        <w:rPr>
          <w:rFonts w:ascii="宋体" w:hAnsi="宋体" w:eastAsia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/>
          <w:color w:val="000000"/>
          <w:kern w:val="0"/>
          <w:sz w:val="32"/>
          <w:szCs w:val="32"/>
        </w:rPr>
        <w:t>、年度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报</w:t>
      </w:r>
      <w:r>
        <w:rPr>
          <w:rFonts w:hint="eastAsia" w:ascii="宋体" w:hAnsi="宋体" w:eastAsia="宋体" w:cs="Batang"/>
          <w:color w:val="000000"/>
          <w:kern w:val="0"/>
          <w:sz w:val="32"/>
          <w:szCs w:val="32"/>
        </w:rPr>
        <w:t>告</w:t>
      </w:r>
    </w:p>
    <w:p>
      <w:pPr>
        <w:snapToGrid w:val="0"/>
        <w:spacing w:line="540" w:lineRule="exact"/>
        <w:ind w:firstLine="640" w:firstLineChars="200"/>
        <w:jc w:val="left"/>
        <w:rPr>
          <w:rFonts w:ascii="宋体" w:hAnsi="宋体" w:eastAsia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/>
          <w:color w:val="000000"/>
          <w:kern w:val="0"/>
          <w:sz w:val="32"/>
          <w:szCs w:val="32"/>
        </w:rPr>
        <w:t>每年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1</w:t>
      </w:r>
      <w:r>
        <w:rPr>
          <w:rFonts w:hint="eastAsia" w:ascii="宋体" w:hAnsi="宋体" w:eastAsia="宋体"/>
          <w:color w:val="000000"/>
          <w:kern w:val="0"/>
          <w:sz w:val="32"/>
          <w:szCs w:val="32"/>
        </w:rPr>
        <w:t>月底前公布上年度自行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监测</w:t>
      </w:r>
      <w:r>
        <w:rPr>
          <w:rFonts w:hint="eastAsia" w:ascii="宋体" w:hAnsi="宋体" w:eastAsia="宋体" w:cs="Batang"/>
          <w:color w:val="000000"/>
          <w:kern w:val="0"/>
          <w:sz w:val="32"/>
          <w:szCs w:val="32"/>
        </w:rPr>
        <w:t>年度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报</w:t>
      </w:r>
      <w:r>
        <w:rPr>
          <w:rFonts w:hint="eastAsia" w:ascii="宋体" w:hAnsi="宋体" w:eastAsia="宋体" w:cs="Batang"/>
          <w:color w:val="000000"/>
          <w:kern w:val="0"/>
          <w:sz w:val="32"/>
          <w:szCs w:val="32"/>
        </w:rPr>
        <w:t>告</w:t>
      </w:r>
      <w:r>
        <w:rPr>
          <w:rFonts w:hint="eastAsia" w:ascii="宋体" w:hAnsi="宋体" w:eastAsia="宋体"/>
          <w:color w:val="000000"/>
          <w:kern w:val="0"/>
          <w:sz w:val="32"/>
          <w:szCs w:val="32"/>
        </w:rPr>
        <w:t>。</w:t>
      </w: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 w:eastAsia="宋体"/>
          <w:b/>
          <w:sz w:val="24"/>
        </w:rPr>
      </w:pPr>
    </w:p>
    <w:p>
      <w:pPr>
        <w:spacing w:line="360" w:lineRule="auto"/>
        <w:jc w:val="left"/>
        <w:rPr>
          <w:rFonts w:ascii="宋体" w:hAnsi="宋体" w:eastAsia="宋体"/>
          <w:b/>
          <w:sz w:val="24"/>
        </w:rPr>
      </w:pPr>
    </w:p>
    <w:p>
      <w:pPr>
        <w:spacing w:line="360" w:lineRule="auto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工艺流程</w:t>
      </w:r>
    </w:p>
    <w:p>
      <w:pPr>
        <w:rPr>
          <w:rFonts w:ascii="宋体" w:hAnsi="宋体" w:eastAsia="宋体"/>
          <w:b/>
          <w:bCs/>
          <w:szCs w:val="21"/>
        </w:rPr>
      </w:pPr>
      <w: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rect id="Rectangle 176" o:spid="_x0000_s1029" style="position:absolute;left:0;margin-left:-11.35pt;margin-top:12.1pt;height:20.25pt;width:76.5pt;rotation:0f;z-index:251689984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辅料验收</w:t>
                  </w:r>
                </w:p>
              </w:txbxContent>
            </v:textbox>
          </v:rect>
        </w:pict>
      </w:r>
    </w:p>
    <w:p>
      <w:pPr>
        <w:tabs>
          <w:tab w:val="left" w:pos="3780"/>
        </w:tabs>
        <w:ind w:firstLine="3968" w:firstLineChars="1417"/>
        <w:rPr>
          <w:rFonts w:ascii="宋体" w:hAnsi="宋体" w:eastAsia="宋体"/>
          <w:szCs w:val="21"/>
        </w:rPr>
      </w:pPr>
      <w: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  <w:pict>
          <v:rect id="Rectangle 145" o:spid="_x0000_s1030" style="position:absolute;left:0;margin-left:104.9pt;margin-top:3pt;height:24.25pt;width:91.6pt;rotation:0f;z-index:251658240;" o:ole="f" fillcolor="#A5A5A5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原料验收CCP1</w:t>
                  </w:r>
                </w:p>
              </w:txbxContent>
            </v:textbox>
          </v:rect>
        </w:pict>
      </w:r>
      <w:r>
        <w:rPr>
          <w:rFonts w:hint="eastAsia" w:ascii="宋体" w:hAnsi="宋体" w:eastAsia="宋体"/>
          <w:szCs w:val="21"/>
        </w:rPr>
        <w:t>1、</w:t>
      </w:r>
      <w:r>
        <w:rPr>
          <w:rFonts w:hint="eastAsia" w:ascii="宋体" w:hAnsi="宋体" w:eastAsia="宋体"/>
          <w:sz w:val="18"/>
          <w:szCs w:val="18"/>
        </w:rPr>
        <w:t>查验相关证明；</w:t>
      </w:r>
    </w:p>
    <w:p>
      <w:pPr>
        <w:tabs>
          <w:tab w:val="left" w:pos="3780"/>
        </w:tabs>
        <w:ind w:firstLine="3990" w:firstLineChars="190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pict>
          <v:line id="Line 181" o:spid="_x0000_s1031" style="position:absolute;left:0;margin-left:24.65pt;margin-top:1.15pt;height:27.95pt;width:0.05pt;rotation:0f;z-index:251695104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/>
          <w:sz w:val="18"/>
          <w:szCs w:val="18"/>
        </w:rPr>
        <w:t>2、原料肉药残检测</w:t>
      </w:r>
    </w:p>
    <w:p>
      <w:pPr>
        <w:tabs>
          <w:tab w:val="left" w:pos="3780"/>
        </w:tabs>
        <w:rPr>
          <w:rFonts w:ascii="宋体" w:hAnsi="宋体" w:eastAsia="宋体"/>
          <w:szCs w:val="21"/>
        </w:rPr>
      </w:pPr>
      <w: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pict>
          <v:line id="Line 180" o:spid="_x0000_s1032" style="position:absolute;left:0;margin-left:152.25pt;margin-top:0.25pt;height:27.95pt;width:0.05pt;rotation:0f;z-index:251694080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pict>
          <v:rect id="Rectangle 177" o:spid="_x0000_s1033" style="position:absolute;left:0;margin-left:-12.85pt;margin-top:11.65pt;height:20.25pt;width:76.5pt;rotation:0f;z-index:251691008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辅料储存</w:t>
                  </w:r>
                </w:p>
              </w:txbxContent>
            </v:textbox>
          </v:rect>
        </w:pict>
      </w:r>
    </w:p>
    <w:p>
      <w:pPr>
        <w:tabs>
          <w:tab w:val="left" w:pos="3780"/>
        </w:tabs>
        <w:rPr>
          <w:rFonts w:ascii="宋体" w:hAnsi="宋体" w:eastAsia="宋体"/>
          <w:szCs w:val="21"/>
        </w:rPr>
      </w:pPr>
      <w: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pict>
          <v:rect id="Rectangle 146" o:spid="_x0000_s1034" style="position:absolute;left:0;margin-left:104.9pt;margin-top:13.35pt;height:23.4pt;width:91.6pt;rotation:0f;z-index:251659264;" o:ole="f" fillcolor="#C0C0C0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 xml:space="preserve">原料储存         </w:t>
                  </w:r>
                </w:p>
              </w:txbxContent>
            </v:textbox>
          </v:rect>
        </w:pict>
      </w:r>
    </w:p>
    <w:p>
      <w:pPr>
        <w:tabs>
          <w:tab w:val="left" w:pos="3780"/>
        </w:tabs>
        <w:ind w:firstLine="3969" w:firstLineChars="2205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18"/>
          <w:szCs w:val="18"/>
          <w:lang w:val="en-US" w:eastAsia="zh-CN" w:bidi="ar-SA"/>
        </w:rPr>
        <w:pict>
          <v:line id="Line 182" o:spid="_x0000_s1035" style="position:absolute;left:0;margin-left:24.65pt;margin-top:0.9pt;height:27.95pt;width:0.05pt;rotation:0f;z-index:251696128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/>
          <w:sz w:val="18"/>
          <w:szCs w:val="18"/>
        </w:rPr>
        <w:t>1、冷冻肉类原料-18℃以下；冰鲜原料在-2~2℃；</w:t>
      </w:r>
    </w:p>
    <w:p>
      <w:pPr>
        <w:tabs>
          <w:tab w:val="left" w:pos="3780"/>
        </w:tabs>
        <w:ind w:firstLine="3960" w:firstLineChars="220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18"/>
          <w:szCs w:val="18"/>
          <w:lang w:val="en-US" w:eastAsia="zh-CN" w:bidi="ar-SA"/>
        </w:rPr>
        <w:pict>
          <v:rect id="Rectangle 178" o:spid="_x0000_s1036" style="position:absolute;left:0;margin-left:-14.35pt;margin-top:13.25pt;height:20.25pt;width:76.5pt;rotation:0f;z-index:251692032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拆包◆</w:t>
                  </w:r>
                </w:p>
              </w:txbxContent>
            </v:textbox>
          </v:rect>
        </w:pict>
      </w:r>
      <w: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line id="Line 151" o:spid="_x0000_s1037" style="position:absolute;left:0;margin-left:152.25pt;margin-top:5.55pt;height:27.95pt;width:0.05pt;rotation:0f;z-index:251664384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/>
          <w:sz w:val="18"/>
          <w:szCs w:val="18"/>
        </w:rPr>
        <w:t>2、原料发货先进先出。</w:t>
      </w:r>
    </w:p>
    <w:p>
      <w:pPr>
        <w:tabs>
          <w:tab w:val="left" w:pos="3780"/>
        </w:tabs>
        <w:rPr>
          <w:rFonts w:ascii="宋体" w:hAnsi="宋体" w:eastAsia="宋体"/>
          <w:sz w:val="18"/>
          <w:szCs w:val="18"/>
        </w:rPr>
      </w:pPr>
    </w:p>
    <w:p>
      <w:pPr>
        <w:pStyle w:val="7"/>
        <w:numPr>
          <w:ilvl w:val="0"/>
          <w:numId w:val="2"/>
        </w:numPr>
        <w:tabs>
          <w:tab w:val="left" w:pos="4160"/>
        </w:tabs>
        <w:ind w:firstLineChars="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line id="Line 183" o:spid="_x0000_s1038" style="position:absolute;left:0;margin-left:23.9pt;margin-top:2.3pt;height:27.95pt;width:0.05pt;rotation:0f;z-index:251697152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shape id="Straight Connector 159" o:spid="_x0000_s1039" type="#_x0000_t32" style="position:absolute;left:0;flip:x;margin-left:80.15pt;margin-top:13.5pt;height:0.05pt;width:24.75pt;rotation:0f;z-index:251672576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rect id="Rectangle 147" o:spid="_x0000_s1040" style="position:absolute;left:0;margin-left:104.9pt;margin-top:2.3pt;height:23.4pt;width:94.6pt;rotation:0f;z-index:251660288;" o:ole="f" fillcolor="#C0C0C0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原料肉解冻</w:t>
                  </w:r>
                  <w:r>
                    <w:rPr>
                      <w:rFonts w:hint="eastAsia" w:ascii="宋体" w:hAnsi="宋体"/>
                      <w:b/>
                      <w:szCs w:val="21"/>
                    </w:rPr>
                    <w:t>◆</w:t>
                  </w:r>
                </w:p>
              </w:txbxContent>
            </v:textbox>
          </v:rect>
        </w:pict>
      </w:r>
      <w: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shape id="Straight Connector 160" o:spid="_x0000_s1041" type="#_x0000_t32" style="position:absolute;left:0;margin-left:80.15pt;margin-top:13.45pt;height:46.55pt;width:0.05pt;rotation:0f;z-index:251673600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sz w:val="18"/>
          <w:szCs w:val="18"/>
        </w:rPr>
        <w:t>微波解冻：完全解冻后肉中心温度0~4℃，</w:t>
      </w:r>
    </w:p>
    <w:p>
      <w:pPr>
        <w:pStyle w:val="7"/>
        <w:tabs>
          <w:tab w:val="left" w:pos="4160"/>
        </w:tabs>
        <w:ind w:left="4440" w:firstLine="0" w:firstLineChars="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line id="Line 152" o:spid="_x0000_s1042" style="position:absolute;left:0;flip:x;margin-left:153.75pt;margin-top:10.1pt;height:91.3pt;width:0.05pt;rotation:0f;z-index:251665408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/>
          <w:sz w:val="18"/>
          <w:szCs w:val="18"/>
        </w:rPr>
        <w:t>设备：微波解冻机AMT4212</w:t>
      </w:r>
    </w:p>
    <w:p>
      <w:pPr>
        <w:pStyle w:val="7"/>
        <w:numPr>
          <w:ilvl w:val="0"/>
          <w:numId w:val="2"/>
        </w:numPr>
        <w:tabs>
          <w:tab w:val="left" w:pos="4160"/>
        </w:tabs>
        <w:ind w:firstLineChars="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rect id="Rectangle 179" o:spid="_x0000_s1043" style="position:absolute;left:0;margin-left:-15.1pt;margin-top:-0.2pt;height:20.25pt;width:76.5pt;rotation:0f;z-index:251693056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辅料配制</w:t>
                  </w:r>
                </w:p>
              </w:txbxContent>
            </v:textbox>
          </v:rect>
        </w:pict>
      </w:r>
      <w:r>
        <w:rPr>
          <w:rFonts w:hint="eastAsia" w:ascii="宋体" w:hAnsi="宋体" w:eastAsia="宋体"/>
          <w:sz w:val="18"/>
          <w:szCs w:val="18"/>
        </w:rPr>
        <w:t>自然解冻：解冻环境12℃以下</w:t>
      </w:r>
    </w:p>
    <w:p>
      <w:pPr>
        <w:tabs>
          <w:tab w:val="left" w:pos="4160"/>
        </w:tabs>
        <w:rPr>
          <w:rFonts w:ascii="宋体" w:hAnsi="宋体" w:eastAsia="宋体"/>
          <w:szCs w:val="21"/>
        </w:rPr>
      </w:pPr>
      <w: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line id="Line 184" o:spid="_x0000_s1044" style="position:absolute;left:0;margin-left:24.65pt;margin-top:7.7pt;height:62.5pt;width:0.05pt;rotation:0f;z-index:251698176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宋体" w:hAnsi="宋体" w:eastAsia="宋体" w:cs="Times New Roman"/>
          <w:kern w:val="2"/>
          <w:sz w:val="18"/>
          <w:szCs w:val="18"/>
          <w:lang w:val="en-US" w:eastAsia="zh-CN" w:bidi="ar-SA"/>
        </w:rPr>
        <w:pict>
          <v:rect id="Rectangle 157" o:spid="_x0000_s1045" style="position:absolute;left:0;margin-left:40.4pt;margin-top:13.2pt;height:23.4pt;width:84pt;rotation:0f;z-index:251670528;" o:ole="f" fillcolor="#C0C0C0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切丁、切丝、切片</w:t>
                  </w:r>
                </w:p>
              </w:txbxContent>
            </v:textbox>
          </v:rect>
        </w:pict>
      </w:r>
      <w: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rect id="Rectangle 148" o:spid="_x0000_s1046" style="position:absolute;left:0;margin-left:207.55pt;margin-top:13.75pt;height:23.4pt;width:108.85pt;rotation:0f;z-index:251661312;" o:ole="f" fillcolor="#C0C0C0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辅料+水（充分溶解）</w:t>
                  </w:r>
                </w:p>
              </w:txbxContent>
            </v:textbox>
          </v:rect>
        </w:pict>
      </w:r>
      <w:r>
        <w:rPr>
          <w:rFonts w:hint="eastAsia" w:ascii="宋体" w:hAnsi="宋体" w:eastAsia="宋体"/>
          <w:szCs w:val="21"/>
        </w:rPr>
        <w:t xml:space="preserve">                                       </w:t>
      </w:r>
    </w:p>
    <w:p>
      <w:pPr>
        <w:tabs>
          <w:tab w:val="left" w:pos="4160"/>
        </w:tabs>
        <w:rPr>
          <w:rFonts w:ascii="宋体" w:hAnsi="宋体" w:eastAsia="宋体"/>
          <w:szCs w:val="21"/>
        </w:rPr>
      </w:pPr>
      <w: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shape id="Straight Connector 156" o:spid="_x0000_s1047" type="#_x0000_t32" style="position:absolute;left:0;flip:x;margin-left:153pt;margin-top:8.8pt;height:0.05pt;width:53.8pt;rotation:0f;z-index:251669504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ascii="宋体" w:hAnsi="宋体" w:eastAsia="宋体"/>
          <w:szCs w:val="21"/>
        </w:rPr>
      </w:pPr>
      <w: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shape id="Straight Connector 161" o:spid="_x0000_s1048" type="#_x0000_t32" style="position:absolute;left:0;margin-left:80.15pt;margin-top:5.95pt;height:80.25pt;width:0.05pt;rotation:0f;z-index:251674624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ascii="宋体" w:hAnsi="宋体" w:eastAsia="宋体"/>
          <w:szCs w:val="21"/>
        </w:rPr>
      </w:pPr>
    </w:p>
    <w:p>
      <w:pPr>
        <w:pStyle w:val="7"/>
        <w:numPr>
          <w:ilvl w:val="0"/>
          <w:numId w:val="3"/>
        </w:numPr>
        <w:ind w:left="4395" w:hanging="300" w:firstLineChars="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pict>
          <v:rect id="Rectangle 158" o:spid="_x0000_s1049" style="position:absolute;left:0;margin-left:-27.95pt;margin-top:7.8pt;height:23.4pt;width:96.1pt;rotation:0f;z-index:251671552;" o:ole="f" fillcolor="#C0C0C0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辅料+水（充分溶解）</w:t>
                  </w:r>
                </w:p>
              </w:txbxContent>
            </v:textbox>
          </v:rect>
        </w:pict>
      </w:r>
      <w: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pict>
          <v:rect id="Rectangle 149" o:spid="_x0000_s1050" style="position:absolute;left:0;margin-left:106.4pt;margin-top:7.8pt;height:23.4pt;width:95.35pt;rotation:0f;z-index:251662336;" o:ole="f" fillcolor="#C0C0C0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盐水注射</w:t>
                  </w:r>
                </w:p>
              </w:txbxContent>
            </v:textbox>
          </v:rect>
        </w:pict>
      </w:r>
      <w:r>
        <w:rPr>
          <w:rFonts w:hint="eastAsia" w:ascii="宋体" w:hAnsi="宋体" w:eastAsia="宋体"/>
          <w:sz w:val="18"/>
          <w:szCs w:val="18"/>
        </w:rPr>
        <w:t>注射率：40±3%；注射时肉温控制在2~6℃</w:t>
      </w:r>
    </w:p>
    <w:p>
      <w:pPr>
        <w:pStyle w:val="7"/>
        <w:ind w:left="90" w:firstLine="36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18"/>
          <w:szCs w:val="18"/>
          <w:lang w:val="en-US" w:eastAsia="zh-CN" w:bidi="ar-SA"/>
        </w:rPr>
        <w:pict>
          <v:shape id="Straight Connector 162" o:spid="_x0000_s1051" type="#_x0000_t32" style="position:absolute;left:0;margin-left:68.15pt;margin-top:4.9pt;height:0.05pt;width:12pt;rotation:0f;z-index:251675648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sz w:val="18"/>
          <w:szCs w:val="18"/>
        </w:rPr>
        <w:t xml:space="preserve">                                         2、注射两遍，肉的两面各注射一次，确保注射均匀；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line id="Line 153" o:spid="_x0000_s1052" style="position:absolute;left:0;margin-left:153pt;margin-top:0pt;height:39pt;width:0.75pt;rotation:0f;z-index:251666432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/>
          <w:szCs w:val="21"/>
        </w:rPr>
        <w:t xml:space="preserve">                                       </w:t>
      </w:r>
      <w:r>
        <w:rPr>
          <w:rFonts w:hint="eastAsia" w:ascii="宋体" w:hAnsi="宋体" w:eastAsia="宋体"/>
          <w:sz w:val="18"/>
          <w:szCs w:val="18"/>
        </w:rPr>
        <w:t>3、注射率不足部分以盐水补足加入按摩机中按摩。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18"/>
          <w:szCs w:val="18"/>
          <w:lang w:val="en-US" w:eastAsia="zh-CN" w:bidi="ar-SA"/>
        </w:rPr>
        <w:pict>
          <v:shape id="Straight Connector 167" o:spid="_x0000_s1053" type="#_x0000_t32" style="position:absolute;left:0;margin-left:80.15pt;margin-top:8.2pt;height:0.05pt;width:72.1pt;rotation:0f;z-index:251680768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rect id="Rectangle 150" o:spid="_x0000_s1054" style="position:absolute;left:0;margin-left:105.65pt;margin-top:7.8pt;height:23.4pt;width:96.1pt;rotation:0f;z-index:251663360;" o:ole="f" fillcolor="#C0C0C0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420" w:firstLineChars="2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真空按摩</w:t>
                  </w:r>
                </w:p>
              </w:txbxContent>
            </v:textbox>
          </v:rect>
        </w:pict>
      </w:r>
      <w:r>
        <w:rPr>
          <w:rFonts w:hint="eastAsia" w:ascii="宋体" w:hAnsi="宋体" w:eastAsia="宋体"/>
          <w:szCs w:val="21"/>
        </w:rPr>
        <w:t xml:space="preserve">                                       </w:t>
      </w:r>
      <w:r>
        <w:rPr>
          <w:rFonts w:hint="eastAsia" w:ascii="宋体" w:hAnsi="宋体" w:eastAsia="宋体"/>
          <w:sz w:val="18"/>
          <w:szCs w:val="18"/>
        </w:rPr>
        <w:t>1、转速6转/分钟，时间120~150分钟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shape id="Straight Connector 173" o:spid="_x0000_s1055" type="#_x0000_t32" style="position:absolute;left:0;margin-left:79.4pt;margin-top:4.6pt;height:235.25pt;width:0.05pt;rotation:0f;z-index:251686912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shape id="Straight Connector 172" o:spid="_x0000_s1056" type="#_x0000_t32" style="position:absolute;left:0;flip:x;margin-left:80.15pt;margin-top:4.6pt;height:0.05pt;width:25.5pt;rotation:0f;z-index:251685888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szCs w:val="21"/>
        </w:rPr>
        <w:t xml:space="preserve">                                       </w:t>
      </w:r>
      <w:r>
        <w:rPr>
          <w:rFonts w:hint="eastAsia" w:ascii="宋体" w:hAnsi="宋体" w:eastAsia="宋体"/>
          <w:sz w:val="18"/>
          <w:szCs w:val="18"/>
        </w:rPr>
        <w:t>2、真空按摩机型号：RGR-1700HY/PM-2000-T-CO</w:t>
      </w:r>
      <w:r>
        <w:rPr>
          <w:rFonts w:hint="eastAsia" w:ascii="宋体" w:hAnsi="宋体" w:eastAsia="宋体"/>
          <w:sz w:val="18"/>
          <w:szCs w:val="18"/>
          <w:vertAlign w:val="subscript"/>
        </w:rPr>
        <w:t>2</w:t>
      </w:r>
    </w:p>
    <w:p>
      <w:pPr>
        <w:rPr>
          <w:rFonts w:ascii="宋体" w:hAnsi="宋体" w:eastAsia="宋体"/>
          <w:szCs w:val="21"/>
        </w:rPr>
      </w:pPr>
      <w: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line id="Line 164" o:spid="_x0000_s1057" style="position:absolute;left:0;margin-left:153.75pt;margin-top:0pt;height:23.4pt;width:0.05pt;rotation:0f;z-index:251677696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rect id="Rectangle 163" o:spid="_x0000_s1058" style="position:absolute;left:0;margin-left:105.65pt;margin-top:7.8pt;height:23.4pt;width:96.1pt;rotation:0f;z-index:251676672;" o:ole="f" fillcolor="#C0C0C0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定型</w:t>
                  </w:r>
                </w:p>
              </w:txbxContent>
            </v:textbox>
          </v:rect>
        </w:pict>
      </w:r>
      <w:r>
        <w:rPr>
          <w:rFonts w:hint="eastAsia" w:ascii="宋体" w:hAnsi="宋体" w:eastAsia="宋体"/>
          <w:szCs w:val="21"/>
        </w:rPr>
        <w:t xml:space="preserve">                                       </w:t>
      </w:r>
      <w:r>
        <w:rPr>
          <w:rFonts w:hint="eastAsia" w:ascii="宋体" w:hAnsi="宋体" w:eastAsia="宋体"/>
          <w:sz w:val="18"/>
          <w:szCs w:val="18"/>
        </w:rPr>
        <w:t>1、将按摩后原料肉充满于模具或肠衣中；</w:t>
      </w:r>
    </w:p>
    <w:p>
      <w:pPr>
        <w:ind w:left="4253" w:hanging="4253" w:hangingChars="2025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Cs w:val="21"/>
        </w:rPr>
        <w:t xml:space="preserve">                                        </w:t>
      </w:r>
    </w:p>
    <w:p>
      <w:pPr>
        <w:rPr>
          <w:rFonts w:ascii="宋体" w:hAnsi="宋体" w:eastAsia="宋体"/>
          <w:szCs w:val="21"/>
        </w:rPr>
      </w:pPr>
      <w: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line id="Line 154" o:spid="_x0000_s1059" style="position:absolute;left:0;margin-left:153pt;margin-top:0pt;height:15.6pt;width:0.05pt;rotation:0f;z-index:251667456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tabs>
          <w:tab w:val="left" w:pos="3780"/>
        </w:tabs>
        <w:ind w:firstLine="4200" w:firstLineChars="200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pict>
          <v:rect id="Rectangle 165" o:spid="_x0000_s1060" style="position:absolute;left:0;margin-left:106.35pt;margin-top:0pt;height:23.4pt;width:97.5pt;rotation:0f;z-index:251678720;" o:ole="f" fillcolor="#C0C0C0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速冻</w:t>
                  </w:r>
                </w:p>
              </w:txbxContent>
            </v:textbox>
          </v:rect>
        </w:pict>
      </w:r>
      <w:r>
        <w:rPr>
          <w:rFonts w:hint="eastAsia" w:ascii="宋体" w:hAnsi="宋体" w:eastAsia="宋体"/>
          <w:sz w:val="18"/>
          <w:szCs w:val="18"/>
        </w:rPr>
        <w:t>1、速冻库温度控制-30℃以下；</w:t>
      </w:r>
    </w:p>
    <w:p>
      <w:pPr>
        <w:tabs>
          <w:tab w:val="left" w:pos="3780"/>
        </w:tabs>
        <w:ind w:firstLine="4200" w:firstLineChars="200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pict>
          <v:line id="Line 166" o:spid="_x0000_s1061" style="position:absolute;left:0;margin-left:153pt;margin-top:9.3pt;height:64.35pt;width:0.05pt;rotation:0f;z-index:251679744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/>
          <w:sz w:val="18"/>
          <w:szCs w:val="18"/>
        </w:rPr>
        <w:t>2、产品中心温度降至-18℃以下方可出库；</w:t>
      </w:r>
    </w:p>
    <w:p>
      <w:pPr>
        <w:ind w:left="4428" w:leftChars="2009" w:hanging="209" w:hangingChars="116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 w:val="18"/>
          <w:szCs w:val="18"/>
        </w:rPr>
        <w:t>3、制冷人员每小时检查一次库温，制冷主管每天不定时负责检查，品管人员每天检查一次库温，每天检查一次产品出库前肉温</w:t>
      </w:r>
    </w:p>
    <w:p>
      <w:pPr>
        <w:rPr>
          <w:rFonts w:ascii="宋体" w:hAnsi="宋体" w:eastAsia="宋体"/>
          <w:b/>
          <w:bCs/>
          <w:szCs w:val="21"/>
          <w:highlight w:val="yellow"/>
          <w:bdr w:val="single" w:color="auto" w:sz="4" w:space="0"/>
        </w:rPr>
      </w:pPr>
      <w:r>
        <w:rPr>
          <w:rFonts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pict>
          <v:rect id="Rectangle 168" o:spid="_x0000_s1062" style="position:absolute;left:0;margin-left:107.75pt;margin-top:11.25pt;height:23.4pt;width:96.1pt;rotation:0f;z-index:251681792;" o:ole="f" fillcolor="#C0C0C0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脱模</w:t>
                  </w:r>
                </w:p>
              </w:txbxContent>
            </v:textbox>
          </v:rect>
        </w:pict>
      </w:r>
    </w:p>
    <w:p>
      <w:pPr>
        <w:rPr>
          <w:rFonts w:ascii="宋体" w:hAnsi="宋体" w:eastAsia="宋体"/>
          <w:bCs/>
          <w:sz w:val="18"/>
          <w:szCs w:val="18"/>
        </w:rPr>
      </w:pPr>
      <w:r>
        <w:rPr>
          <w:rFonts w:hint="eastAsia" w:ascii="宋体" w:hAnsi="宋体" w:eastAsia="宋体"/>
          <w:bCs/>
          <w:szCs w:val="21"/>
        </w:rPr>
        <w:t xml:space="preserve">                                        </w:t>
      </w:r>
      <w:r>
        <w:rPr>
          <w:rFonts w:hint="eastAsia" w:ascii="宋体" w:hAnsi="宋体" w:eastAsia="宋体"/>
          <w:bCs/>
          <w:sz w:val="18"/>
          <w:szCs w:val="18"/>
        </w:rPr>
        <w:t>1、将速冻成型后产品脱模具</w:t>
      </w:r>
    </w:p>
    <w:p>
      <w:pPr>
        <w:rPr>
          <w:rFonts w:ascii="宋体" w:hAnsi="宋体" w:eastAsia="宋体"/>
          <w:b/>
          <w:bCs/>
          <w:szCs w:val="21"/>
          <w:highlight w:val="yellow"/>
          <w:bdr w:val="single" w:color="auto" w:sz="4" w:space="0"/>
        </w:rPr>
      </w:pPr>
      <w:r>
        <w:rPr>
          <w:rFonts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pict>
          <v:rect id="Rectangle 185" o:spid="_x0000_s1063" style="position:absolute;left:0;margin-left:-18.1pt;margin-top:10.75pt;height:20.25pt;width:76.5pt;rotation:0f;z-index:251699200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包材验收</w:t>
                  </w:r>
                </w:p>
              </w:txbxContent>
            </v:textbox>
          </v:rect>
        </w:pict>
      </w:r>
      <w:r>
        <w:rPr>
          <w:rFonts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pict>
          <v:line id="Line 170" o:spid="_x0000_s1064" style="position:absolute;left:0;margin-left:154.5pt;margin-top:3.3pt;height:15.6pt;width:0.05pt;rotation:0f;z-index:251683840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tabs>
          <w:tab w:val="center" w:pos="4706"/>
        </w:tabs>
        <w:rPr>
          <w:rFonts w:ascii="宋体" w:hAnsi="宋体" w:eastAsia="宋体"/>
          <w:bCs/>
          <w:sz w:val="18"/>
          <w:szCs w:val="18"/>
        </w:rPr>
      </w:pPr>
      <w:r>
        <w:rPr>
          <w:rFonts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pict>
          <v:rect id="Rectangle 169" o:spid="_x0000_s1065" style="position:absolute;left:0;margin-left:109.25pt;margin-top:3.45pt;height:23.4pt;width:96.1pt;rotation:0f;z-index:251682816;" o:ole="f" fillcolor="#C0C0C0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锯片</w:t>
                  </w:r>
                </w:p>
              </w:txbxContent>
            </v:textbox>
          </v:rect>
        </w:pict>
      </w:r>
      <w:r>
        <w:rPr>
          <w:rFonts w:hint="eastAsia" w:ascii="宋体" w:hAnsi="宋体" w:eastAsia="宋体"/>
          <w:b/>
          <w:bCs/>
          <w:szCs w:val="21"/>
        </w:rPr>
        <w:t xml:space="preserve">                                        </w:t>
      </w:r>
      <w:r>
        <w:rPr>
          <w:rFonts w:hint="eastAsia" w:ascii="宋体" w:hAnsi="宋体" w:eastAsia="宋体"/>
          <w:bCs/>
          <w:sz w:val="18"/>
          <w:szCs w:val="18"/>
        </w:rPr>
        <w:t>1、按产品规格要求上锯锯片</w:t>
      </w:r>
    </w:p>
    <w:p>
      <w:pPr>
        <w:rPr>
          <w:rFonts w:ascii="宋体" w:hAnsi="宋体" w:eastAsia="宋体"/>
          <w:bCs/>
          <w:sz w:val="18"/>
          <w:szCs w:val="18"/>
        </w:rPr>
      </w:pPr>
      <w:r>
        <w:rPr>
          <w:rFonts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pict>
          <v:line id="Line 187" o:spid="_x0000_s1066" style="position:absolute;left:0;margin-left:19.4pt;margin-top:-0.15pt;height:24.55pt;width:0.05pt;rotation:0f;z-index:251701248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pict>
          <v:line id="Line 171" o:spid="_x0000_s1067" style="position:absolute;left:0;margin-left:155.25pt;margin-top:11.25pt;height:35.55pt;width:0.05pt;rotation:0f;z-index:251684864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/>
          <w:bCs/>
          <w:szCs w:val="21"/>
        </w:rPr>
        <w:t xml:space="preserve">                                        </w:t>
      </w:r>
      <w:r>
        <w:rPr>
          <w:rFonts w:hint="eastAsia" w:ascii="宋体" w:hAnsi="宋体" w:eastAsia="宋体"/>
          <w:bCs/>
          <w:sz w:val="18"/>
          <w:szCs w:val="18"/>
        </w:rPr>
        <w:t>2、刮去产品表面锯沫</w:t>
      </w:r>
    </w:p>
    <w:p>
      <w:pPr>
        <w:rPr>
          <w:rFonts w:ascii="宋体" w:hAnsi="宋体" w:eastAsia="宋体"/>
          <w:b/>
          <w:bCs/>
          <w:szCs w:val="21"/>
          <w:bdr w:val="single" w:color="auto" w:sz="4" w:space="0"/>
        </w:rPr>
      </w:pPr>
      <w:r>
        <w:rPr>
          <w:rFonts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pict>
          <v:shape id="Straight Connector 174" o:spid="_x0000_s1068" type="#_x0000_t32" style="position:absolute;left:0;margin-left:80.15pt;margin-top:5.85pt;height:0.05pt;width:74.35pt;rotation:0f;z-index:251687936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pict>
          <v:rect id="Rectangle 186" o:spid="_x0000_s1069" style="position:absolute;left:0;margin-left:-18.1pt;margin-top:8.8pt;height:20.25pt;width:76.5pt;rotation:0f;z-index:251700224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包材储存</w:t>
                  </w:r>
                </w:p>
              </w:txbxContent>
            </v:textbox>
          </v:rect>
        </w:pict>
      </w:r>
    </w:p>
    <w:p>
      <w:pPr>
        <w:rPr>
          <w:rFonts w:ascii="宋体" w:hAnsi="宋体" w:eastAsia="宋体"/>
          <w:b/>
          <w:bCs/>
          <w:szCs w:val="21"/>
          <w:highlight w:val="yellow"/>
          <w:bdr w:val="single" w:color="auto" w:sz="4" w:space="0"/>
        </w:rPr>
      </w:pPr>
      <w:r>
        <w:rPr>
          <w:rFonts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pict>
          <v:shape id="Straight Connector 188" o:spid="_x0000_s1070" type="#_x0000_t32" style="position:absolute;left:0;margin-left:58.4pt;margin-top:5.9pt;height:0.05pt;width:97.6pt;rotation:0f;z-index:251702272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firstLine="4200" w:firstLineChars="200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pict>
          <v:rect id="Rectangle 155" o:spid="_x0000_s1071" style="position:absolute;left:0;margin-left:106.5pt;margin-top:0pt;height:23.4pt;width:99pt;rotation:0f;z-index:251668480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内包装</w:t>
                  </w:r>
                  <w:r>
                    <w:rPr>
                      <w:rFonts w:hint="eastAsia" w:ascii="宋体" w:hAnsi="宋体"/>
                      <w:b/>
                      <w:szCs w:val="21"/>
                    </w:rPr>
                    <w:t>▲</w:t>
                  </w:r>
                </w:p>
              </w:txbxContent>
            </v:textbox>
          </v:rect>
        </w:pict>
      </w:r>
      <w:r>
        <w:rPr>
          <w:rFonts w:hint="eastAsia" w:ascii="宋体" w:hAnsi="宋体" w:eastAsia="宋体"/>
          <w:sz w:val="18"/>
          <w:szCs w:val="18"/>
        </w:rPr>
        <w:t>1、包装袋清洁，印刷图案、字迹清晰</w:t>
      </w:r>
    </w:p>
    <w:p>
      <w:pPr>
        <w:ind w:left="3675" w:firstLine="540" w:firstLineChars="30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18"/>
          <w:szCs w:val="18"/>
          <w:lang w:val="en-US" w:eastAsia="zh-CN" w:bidi="ar-SA"/>
        </w:rPr>
        <w:pict>
          <v:line id="Line 175" o:spid="_x0000_s1072" style="position:absolute;left:0;margin-left:156pt;margin-top:7.35pt;height:35.55pt;width:0.05pt;rotation:0f;z-index:251688960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/>
          <w:sz w:val="18"/>
          <w:szCs w:val="18"/>
        </w:rPr>
        <w:t>2、包装机真空度控制：0.08~-0.1Pa;</w:t>
      </w:r>
    </w:p>
    <w:p>
      <w:pPr>
        <w:ind w:firstLine="4187" w:firstLineChars="2326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3、封口平整，密封严密。</w:t>
      </w:r>
    </w:p>
    <w:p>
      <w:pPr>
        <w:tabs>
          <w:tab w:val="left" w:pos="3780"/>
        </w:tabs>
        <w:ind w:firstLine="4200" w:firstLineChars="200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rect id="Rectangle 189" o:spid="_x0000_s1073" style="position:absolute;left:0;margin-left:107.25pt;margin-top:6.3pt;height:23.4pt;width:98.85pt;rotation:0f;z-index:251703296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速冻</w:t>
                  </w:r>
                </w:p>
              </w:txbxContent>
            </v:textbox>
          </v:rect>
        </w:pict>
      </w:r>
      <w:r>
        <w:rPr>
          <w:rFonts w:hint="eastAsia" w:ascii="宋体" w:hAnsi="宋体" w:eastAsia="宋体"/>
          <w:sz w:val="18"/>
          <w:szCs w:val="18"/>
        </w:rPr>
        <w:t>1、速冻库温度控制-30℃以下；</w:t>
      </w:r>
    </w:p>
    <w:p>
      <w:pPr>
        <w:tabs>
          <w:tab w:val="left" w:pos="3780"/>
        </w:tabs>
        <w:ind w:firstLine="4200" w:firstLineChars="200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pict>
          <v:line id="Line 197" o:spid="_x0000_s1074" style="position:absolute;left:0;margin-left:156pt;margin-top:14.55pt;height:75.45pt;width:0.35pt;rotation:0f;z-index:251711488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/>
          <w:sz w:val="18"/>
          <w:szCs w:val="18"/>
        </w:rPr>
        <w:t>2、产品中心温度降至-18℃以下方可出库；</w:t>
      </w:r>
    </w:p>
    <w:p>
      <w:pPr>
        <w:ind w:left="4428" w:leftChars="2009" w:hanging="209" w:hangingChars="116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 w:val="18"/>
          <w:szCs w:val="18"/>
        </w:rPr>
        <w:t>3、制冷人员每小时检查一次库温，制冷主管每天不定时负责检查，品管人员每天检查一次库温，每天检查一次产品出库前肉温</w:t>
      </w:r>
    </w:p>
    <w:p>
      <w:pPr>
        <w:ind w:left="4463" w:leftChars="2009" w:hanging="244" w:hangingChars="116"/>
        <w:rPr>
          <w:rFonts w:ascii="宋体" w:hAnsi="宋体" w:eastAsia="宋体"/>
          <w:szCs w:val="21"/>
        </w:rPr>
      </w:pPr>
    </w:p>
    <w:p>
      <w:pPr>
        <w:tabs>
          <w:tab w:val="left" w:pos="3780"/>
        </w:tabs>
        <w:rPr>
          <w:rFonts w:ascii="宋体" w:hAnsi="宋体" w:eastAsia="宋体"/>
          <w:szCs w:val="21"/>
        </w:rPr>
      </w:pPr>
      <w: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rect id="Rectangle 195" o:spid="_x0000_s1075" style="position:absolute;left:0;margin-left:106.35pt;margin-top:12pt;height:23.4pt;width:99pt;rotation:0f;z-index:251709440;" o:ole="f" fillcolor="#A5A5A5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金属检测CCP2</w:t>
                  </w:r>
                </w:p>
              </w:txbxContent>
            </v:textbox>
          </v:rect>
        </w:pict>
      </w:r>
      <w:r>
        <w:rPr>
          <w:rFonts w:hint="eastAsia" w:ascii="宋体" w:hAnsi="宋体" w:eastAsia="宋体"/>
          <w:szCs w:val="21"/>
        </w:rPr>
        <w:t xml:space="preserve">                                      </w:t>
      </w:r>
    </w:p>
    <w:p>
      <w:pPr>
        <w:pStyle w:val="2"/>
        <w:ind w:left="4250" w:hanging="4250" w:hangingChars="1518"/>
        <w:rPr>
          <w:rFonts w:ascii="宋体" w:hAnsi="宋体" w:eastAsia="宋体"/>
          <w:snapToGrid w:val="0"/>
          <w:sz w:val="18"/>
          <w:szCs w:val="18"/>
        </w:rPr>
      </w:pPr>
      <w:r>
        <w:rPr>
          <w:rFonts w:ascii="宋体" w:hAnsi="宋体" w:eastAsia="宋体" w:cs="Times New Roman"/>
          <w:kern w:val="0"/>
          <w:sz w:val="28"/>
          <w:szCs w:val="20"/>
          <w:highlight w:val="yellow"/>
          <w:bdr w:val="single" w:color="auto" w:sz="4" w:space="0"/>
          <w:lang w:val="en-US" w:eastAsia="zh-CN" w:bidi="ar-SA"/>
        </w:rPr>
        <w:pict>
          <v:line id="Line 196" o:spid="_x0000_s1076" style="position:absolute;left:0;margin-left:156.35pt;margin-top:21.25pt;height:68.6pt;width:0.05pt;rotation:0f;z-index:251710464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/>
          <w:szCs w:val="21"/>
        </w:rPr>
        <w:t xml:space="preserve">                              </w:t>
      </w:r>
      <w:r>
        <w:rPr>
          <w:rFonts w:hint="eastAsia" w:ascii="宋体" w:hAnsi="宋体" w:eastAsia="宋体"/>
          <w:snapToGrid w:val="0"/>
          <w:sz w:val="18"/>
          <w:szCs w:val="18"/>
        </w:rPr>
        <w:t>1、设备灵敏度标准：三个标准卡：1.铁：</w:t>
      </w:r>
      <w:r>
        <w:rPr>
          <w:rFonts w:hint="eastAsia" w:ascii="宋体" w:hAnsi="宋体" w:eastAsia="宋体" w:cs="宋体"/>
          <w:sz w:val="18"/>
          <w:szCs w:val="18"/>
        </w:rPr>
        <w:t>≤φ</w:t>
      </w:r>
      <w:r>
        <w:rPr>
          <w:rFonts w:hint="eastAsia" w:ascii="宋体" w:hAnsi="宋体" w:eastAsia="宋体"/>
          <w:snapToGrid w:val="0"/>
          <w:sz w:val="18"/>
          <w:szCs w:val="18"/>
        </w:rPr>
        <w:t>1.5mm，非铁：</w:t>
      </w:r>
      <w:r>
        <w:rPr>
          <w:rFonts w:hint="eastAsia" w:ascii="宋体" w:hAnsi="宋体" w:eastAsia="宋体" w:cs="宋体"/>
          <w:sz w:val="18"/>
          <w:szCs w:val="18"/>
        </w:rPr>
        <w:t>≤</w:t>
      </w:r>
      <w:r>
        <w:rPr>
          <w:rFonts w:hint="eastAsia" w:ascii="宋体" w:hAnsi="宋体" w:eastAsia="宋体"/>
          <w:snapToGrid w:val="0"/>
          <w:sz w:val="18"/>
          <w:szCs w:val="18"/>
        </w:rPr>
        <w:t>2.0mm，不锈钢（316）：</w:t>
      </w:r>
      <w:r>
        <w:rPr>
          <w:rFonts w:hint="eastAsia" w:ascii="宋体" w:hAnsi="宋体" w:eastAsia="宋体" w:cs="宋体"/>
          <w:sz w:val="18"/>
          <w:szCs w:val="18"/>
        </w:rPr>
        <w:t>≤</w:t>
      </w:r>
      <w:r>
        <w:rPr>
          <w:rFonts w:hint="eastAsia" w:ascii="宋体" w:hAnsi="宋体" w:eastAsia="宋体"/>
          <w:snapToGrid w:val="0"/>
          <w:sz w:val="18"/>
          <w:szCs w:val="18"/>
        </w:rPr>
        <w:t>φ2.5mm</w:t>
      </w:r>
    </w:p>
    <w:p>
      <w:pPr>
        <w:pStyle w:val="2"/>
        <w:ind w:firstLine="4230" w:firstLineChars="2350"/>
        <w:rPr>
          <w:rFonts w:ascii="宋体" w:hAnsi="宋体" w:eastAsia="宋体"/>
          <w:snapToGrid w:val="0"/>
          <w:sz w:val="18"/>
          <w:szCs w:val="18"/>
        </w:rPr>
      </w:pPr>
      <w:r>
        <w:rPr>
          <w:rFonts w:hint="eastAsia" w:ascii="宋体" w:hAnsi="宋体" w:eastAsia="宋体"/>
          <w:snapToGrid w:val="0"/>
          <w:sz w:val="18"/>
          <w:szCs w:val="18"/>
        </w:rPr>
        <w:t>2、每袋产品通过金属检测仪检查</w:t>
      </w:r>
    </w:p>
    <w:p>
      <w:pPr>
        <w:pStyle w:val="2"/>
        <w:ind w:left="90" w:firstLine="4140" w:firstLineChars="2300"/>
        <w:rPr>
          <w:rFonts w:ascii="宋体" w:hAnsi="宋体" w:eastAsia="宋体"/>
          <w:snapToGrid w:val="0"/>
          <w:sz w:val="18"/>
          <w:szCs w:val="18"/>
        </w:rPr>
      </w:pPr>
      <w:r>
        <w:rPr>
          <w:rFonts w:hint="eastAsia" w:ascii="宋体" w:hAnsi="宋体" w:eastAsia="宋体"/>
          <w:snapToGrid w:val="0"/>
          <w:sz w:val="18"/>
          <w:szCs w:val="18"/>
        </w:rPr>
        <w:t>3、纵向、横向两道金检</w:t>
      </w:r>
    </w:p>
    <w:p>
      <w:pPr>
        <w:tabs>
          <w:tab w:val="left" w:pos="3780"/>
        </w:tabs>
        <w:ind w:firstLine="4230" w:firstLineChars="23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sz w:val="18"/>
          <w:szCs w:val="18"/>
        </w:rPr>
        <w:t>4、设备型号KD3103AW/KD1125AW/KD8126NW/KD1124BW</w:t>
      </w:r>
    </w:p>
    <w:p>
      <w:pPr>
        <w:tabs>
          <w:tab w:val="left" w:pos="3780"/>
        </w:tabs>
        <w:ind w:left="3885"/>
        <w:rPr>
          <w:rFonts w:ascii="宋体" w:hAnsi="宋体" w:eastAsia="宋体"/>
          <w:szCs w:val="21"/>
        </w:rPr>
      </w:pPr>
      <w: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rect id="Rectangle 190" o:spid="_x0000_s1077" style="position:absolute;left:0;margin-left:105.6pt;margin-top:13.35pt;height:23.4pt;width:99pt;rotation:0f;z-index:251704320;" o:ole="f" fillcolor="#C0C0C0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外 包 装</w:t>
                  </w:r>
                </w:p>
              </w:txbxContent>
            </v:textbox>
          </v:rect>
        </w:pict>
      </w:r>
    </w:p>
    <w:p>
      <w:pPr>
        <w:tabs>
          <w:tab w:val="left" w:pos="3780"/>
        </w:tabs>
        <w:ind w:firstLine="4230" w:firstLineChars="235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包装箱清洁，印刷图案和字样清晰；</w:t>
      </w:r>
    </w:p>
    <w:p>
      <w:pPr>
        <w:tabs>
          <w:tab w:val="left" w:pos="3780"/>
        </w:tabs>
        <w:ind w:left="4080" w:firstLine="210" w:firstLineChars="10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pict>
          <v:line id="Line 193" o:spid="_x0000_s1078" style="position:absolute;left:0;margin-left:153.75pt;margin-top:7.05pt;height:31.2pt;width:0.05pt;rotation:0f;z-index:251707392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/>
          <w:sz w:val="18"/>
          <w:szCs w:val="18"/>
        </w:rPr>
        <w:t>产品整齐摆放，内外标识相符。</w:t>
      </w:r>
    </w:p>
    <w:p>
      <w:pPr>
        <w:tabs>
          <w:tab w:val="left" w:pos="3780"/>
        </w:tabs>
        <w:ind w:left="3885"/>
        <w:rPr>
          <w:rFonts w:ascii="宋体" w:hAnsi="宋体" w:eastAsia="宋体"/>
          <w:szCs w:val="21"/>
        </w:rPr>
      </w:pPr>
    </w:p>
    <w:p>
      <w:pPr>
        <w:tabs>
          <w:tab w:val="left" w:pos="3780"/>
        </w:tabs>
        <w:ind w:firstLine="4200" w:firstLineChars="200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pict>
          <v:rect id="Rectangle 191" o:spid="_x0000_s1079" style="position:absolute;left:0;margin-left:104.25pt;margin-top:7.8pt;height:23.4pt;width:98.85pt;rotation:0f;z-index:251705344;" o:ole="f" fillcolor="#C0C0C0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210" w:firstLineChars="1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入 库 冷 藏</w:t>
                  </w:r>
                </w:p>
              </w:txbxContent>
            </v:textbox>
          </v:rect>
        </w:pict>
      </w:r>
      <w:r>
        <w:rPr>
          <w:rFonts w:hint="eastAsia" w:ascii="宋体" w:hAnsi="宋体" w:eastAsia="宋体"/>
          <w:sz w:val="18"/>
          <w:szCs w:val="18"/>
        </w:rPr>
        <w:t>1、成品库温度控制-18℃以下；</w:t>
      </w:r>
    </w:p>
    <w:p>
      <w:pPr>
        <w:tabs>
          <w:tab w:val="left" w:pos="3780"/>
        </w:tabs>
        <w:ind w:firstLine="4230" w:firstLineChars="235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2、产品中心温度保持在-18℃以下；</w:t>
      </w:r>
    </w:p>
    <w:p>
      <w:pPr>
        <w:tabs>
          <w:tab w:val="left" w:pos="3780"/>
        </w:tabs>
        <w:ind w:left="4489" w:leftChars="2009" w:hanging="270" w:hangingChars="15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18"/>
          <w:szCs w:val="18"/>
          <w:lang w:val="en-US" w:eastAsia="zh-CN" w:bidi="ar-SA"/>
        </w:rPr>
        <w:pict>
          <v:line id="Line 194" o:spid="_x0000_s1080" style="position:absolute;left:0;flip:x;margin-left:153.75pt;margin-top:0pt;height:109.2pt;width:0.75pt;rotation:0f;z-index:251708416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/>
          <w:sz w:val="18"/>
          <w:szCs w:val="18"/>
        </w:rPr>
        <w:t>3、制冷人员每两小时检查一次库温，制冷主管每天不定时负责检查，品管人员每天检查一次库温，检查产品出库前肉温。</w:t>
      </w:r>
    </w:p>
    <w:p>
      <w:pPr>
        <w:tabs>
          <w:tab w:val="left" w:pos="3780"/>
        </w:tabs>
        <w:ind w:left="4250" w:leftChars="2024" w:firstLine="31" w:firstLineChars="17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4、库内产品摆放与墙壁距离不少于45cm，与地面距离不少于10cm，与天花板保持一定的距离，按不同种类、批次分垛存放。</w:t>
      </w:r>
    </w:p>
    <w:p>
      <w:pPr>
        <w:tabs>
          <w:tab w:val="left" w:pos="3780"/>
        </w:tabs>
        <w:rPr>
          <w:rFonts w:ascii="宋体" w:hAnsi="宋体" w:eastAsia="宋体"/>
          <w:szCs w:val="21"/>
        </w:rPr>
      </w:pPr>
    </w:p>
    <w:p>
      <w:pPr>
        <w:pStyle w:val="7"/>
        <w:tabs>
          <w:tab w:val="left" w:pos="3780"/>
        </w:tabs>
        <w:ind w:left="4245" w:firstLine="0" w:firstLineChars="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pict>
          <v:rect id="Rectangle 192" o:spid="_x0000_s1081" style="position:absolute;left:0;margin-left:105pt;margin-top:0pt;height:23.4pt;width:97.35pt;rotation:0f;z-index:251706368;" o:ole="f" fillcolor="#C0C0C0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出    货</w:t>
                  </w:r>
                </w:p>
              </w:txbxContent>
            </v:textbox>
          </v:rect>
        </w:pict>
      </w:r>
      <w:r>
        <w:rPr>
          <w:rFonts w:hint="eastAsia" w:ascii="宋体" w:hAnsi="宋体" w:eastAsia="宋体"/>
          <w:sz w:val="18"/>
          <w:szCs w:val="18"/>
        </w:rPr>
        <w:t>1、装车前品管人员检查车辆卫生，车辆必须清洁无异味；</w:t>
      </w:r>
    </w:p>
    <w:p>
      <w:pPr>
        <w:tabs>
          <w:tab w:val="left" w:pos="3780"/>
        </w:tabs>
        <w:ind w:left="4245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2、冷藏车制冷效果必须达到-18℃以下方可离开。</w:t>
      </w:r>
    </w:p>
    <w:p>
      <w:pPr>
        <w:tabs>
          <w:tab w:val="left" w:pos="3780"/>
        </w:tabs>
        <w:rPr>
          <w:rFonts w:ascii="宋体" w:hAnsi="宋体" w:eastAsia="宋体"/>
          <w:szCs w:val="21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ind w:left="3119" w:leftChars="171" w:hanging="2760" w:hangingChars="1150"/>
        <w:jc w:val="left"/>
        <w:rPr>
          <w:rFonts w:ascii="宋体" w:hAnsi="宋体" w:eastAsia="宋体"/>
          <w:sz w:val="24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altName w:val="微软雅黑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altName w:val="GulimChe"/>
    <w:panose1 w:val="02030600000101010101"/>
    <w:charset w:val="81"/>
    <w:family w:val="auto"/>
    <w:pitch w:val="default"/>
    <w:sig w:usb0="B00002AF" w:usb1="69D77CFB" w:usb2="00000030" w:usb3="00000000" w:csb0="000800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Che">
    <w:panose1 w:val="020B0609000101010101"/>
    <w:charset w:val="00"/>
    <w:family w:val="auto"/>
    <w:pitch w:val="default"/>
    <w:sig w:usb0="B00002AF" w:usb1="69D77CFB" w:usb2="00000030" w:usb3="00000000" w:csb0="4008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99316126">
    <w:nsid w:val="7135439E"/>
    <w:multiLevelType w:val="multilevel"/>
    <w:tmpl w:val="7135439E"/>
    <w:lvl w:ilvl="0" w:tentative="1">
      <w:start w:val="1"/>
      <w:numFmt w:val="decimal"/>
      <w:lvlText w:val="%1、"/>
      <w:lvlJc w:val="left"/>
      <w:pPr>
        <w:ind w:left="4440" w:hanging="360"/>
      </w:pPr>
      <w:rPr>
        <w:rFonts w:hint="default"/>
        <w:sz w:val="21"/>
      </w:rPr>
    </w:lvl>
    <w:lvl w:ilvl="1" w:tentative="1">
      <w:start w:val="1"/>
      <w:numFmt w:val="lowerLetter"/>
      <w:lvlText w:val="%2)"/>
      <w:lvlJc w:val="left"/>
      <w:pPr>
        <w:ind w:left="4920" w:hanging="420"/>
      </w:pPr>
    </w:lvl>
    <w:lvl w:ilvl="2" w:tentative="1">
      <w:start w:val="1"/>
      <w:numFmt w:val="lowerRoman"/>
      <w:lvlText w:val="%3."/>
      <w:lvlJc w:val="right"/>
      <w:pPr>
        <w:ind w:left="5340" w:hanging="420"/>
      </w:pPr>
    </w:lvl>
    <w:lvl w:ilvl="3" w:tentative="1">
      <w:start w:val="1"/>
      <w:numFmt w:val="decimal"/>
      <w:lvlText w:val="%4."/>
      <w:lvlJc w:val="left"/>
      <w:pPr>
        <w:ind w:left="5760" w:hanging="420"/>
      </w:pPr>
    </w:lvl>
    <w:lvl w:ilvl="4" w:tentative="1">
      <w:start w:val="1"/>
      <w:numFmt w:val="lowerLetter"/>
      <w:lvlText w:val="%5)"/>
      <w:lvlJc w:val="left"/>
      <w:pPr>
        <w:ind w:left="6180" w:hanging="420"/>
      </w:pPr>
    </w:lvl>
    <w:lvl w:ilvl="5" w:tentative="1">
      <w:start w:val="1"/>
      <w:numFmt w:val="lowerRoman"/>
      <w:lvlText w:val="%6."/>
      <w:lvlJc w:val="right"/>
      <w:pPr>
        <w:ind w:left="6600" w:hanging="420"/>
      </w:pPr>
    </w:lvl>
    <w:lvl w:ilvl="6" w:tentative="1">
      <w:start w:val="1"/>
      <w:numFmt w:val="decimal"/>
      <w:lvlText w:val="%7."/>
      <w:lvlJc w:val="left"/>
      <w:pPr>
        <w:ind w:left="7020" w:hanging="420"/>
      </w:pPr>
    </w:lvl>
    <w:lvl w:ilvl="7" w:tentative="1">
      <w:start w:val="1"/>
      <w:numFmt w:val="lowerLetter"/>
      <w:lvlText w:val="%8)"/>
      <w:lvlJc w:val="left"/>
      <w:pPr>
        <w:ind w:left="7440" w:hanging="420"/>
      </w:pPr>
    </w:lvl>
    <w:lvl w:ilvl="8" w:tentative="1">
      <w:start w:val="1"/>
      <w:numFmt w:val="lowerRoman"/>
      <w:lvlText w:val="%9."/>
      <w:lvlJc w:val="right"/>
      <w:pPr>
        <w:ind w:left="7860" w:hanging="420"/>
      </w:pPr>
    </w:lvl>
  </w:abstractNum>
  <w:abstractNum w:abstractNumId="275406891">
    <w:nsid w:val="106A602B"/>
    <w:multiLevelType w:val="multilevel"/>
    <w:tmpl w:val="106A602B"/>
    <w:lvl w:ilvl="0" w:tentative="1">
      <w:start w:val="4"/>
      <w:numFmt w:val="japaneseCounting"/>
      <w:lvlText w:val="%1、"/>
      <w:lvlJc w:val="left"/>
      <w:pPr>
        <w:ind w:left="1361" w:hanging="720"/>
      </w:pPr>
      <w:rPr>
        <w:rFonts w:hint="default" w:hAnsi="华文仿宋" w:cs="Times New Roman"/>
      </w:rPr>
    </w:lvl>
    <w:lvl w:ilvl="1" w:tentative="1">
      <w:start w:val="1"/>
      <w:numFmt w:val="lowerLetter"/>
      <w:lvlText w:val="%2)"/>
      <w:lvlJc w:val="left"/>
      <w:pPr>
        <w:ind w:left="1481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01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21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41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61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81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01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21" w:hanging="420"/>
      </w:pPr>
      <w:rPr>
        <w:rFonts w:cs="Times New Roman"/>
      </w:rPr>
    </w:lvl>
  </w:abstractNum>
  <w:abstractNum w:abstractNumId="1471289493">
    <w:nsid w:val="57B21895"/>
    <w:multiLevelType w:val="multilevel"/>
    <w:tmpl w:val="57B21895"/>
    <w:lvl w:ilvl="0" w:tentative="1">
      <w:start w:val="1"/>
      <w:numFmt w:val="decimal"/>
      <w:lvlText w:val="%1、"/>
      <w:lvlJc w:val="left"/>
      <w:pPr>
        <w:ind w:left="445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4935" w:hanging="420"/>
      </w:pPr>
    </w:lvl>
    <w:lvl w:ilvl="2" w:tentative="1">
      <w:start w:val="1"/>
      <w:numFmt w:val="lowerRoman"/>
      <w:lvlText w:val="%3."/>
      <w:lvlJc w:val="right"/>
      <w:pPr>
        <w:ind w:left="5355" w:hanging="420"/>
      </w:pPr>
    </w:lvl>
    <w:lvl w:ilvl="3" w:tentative="1">
      <w:start w:val="1"/>
      <w:numFmt w:val="decimal"/>
      <w:lvlText w:val="%4."/>
      <w:lvlJc w:val="left"/>
      <w:pPr>
        <w:ind w:left="5775" w:hanging="420"/>
      </w:pPr>
    </w:lvl>
    <w:lvl w:ilvl="4" w:tentative="1">
      <w:start w:val="1"/>
      <w:numFmt w:val="lowerLetter"/>
      <w:lvlText w:val="%5)"/>
      <w:lvlJc w:val="left"/>
      <w:pPr>
        <w:ind w:left="6195" w:hanging="420"/>
      </w:pPr>
    </w:lvl>
    <w:lvl w:ilvl="5" w:tentative="1">
      <w:start w:val="1"/>
      <w:numFmt w:val="lowerRoman"/>
      <w:lvlText w:val="%6."/>
      <w:lvlJc w:val="right"/>
      <w:pPr>
        <w:ind w:left="6615" w:hanging="420"/>
      </w:pPr>
    </w:lvl>
    <w:lvl w:ilvl="6" w:tentative="1">
      <w:start w:val="1"/>
      <w:numFmt w:val="decimal"/>
      <w:lvlText w:val="%7."/>
      <w:lvlJc w:val="left"/>
      <w:pPr>
        <w:ind w:left="7035" w:hanging="420"/>
      </w:pPr>
    </w:lvl>
    <w:lvl w:ilvl="7" w:tentative="1">
      <w:start w:val="1"/>
      <w:numFmt w:val="lowerLetter"/>
      <w:lvlText w:val="%8)"/>
      <w:lvlJc w:val="left"/>
      <w:pPr>
        <w:ind w:left="7455" w:hanging="420"/>
      </w:pPr>
    </w:lvl>
    <w:lvl w:ilvl="8" w:tentative="1">
      <w:start w:val="1"/>
      <w:numFmt w:val="lowerRoman"/>
      <w:lvlText w:val="%9."/>
      <w:lvlJc w:val="right"/>
      <w:pPr>
        <w:ind w:left="7875" w:hanging="420"/>
      </w:pPr>
    </w:lvl>
  </w:abstractNum>
  <w:num w:numId="1">
    <w:abstractNumId w:val="275406891"/>
  </w:num>
  <w:num w:numId="2">
    <w:abstractNumId w:val="1899316126"/>
  </w:num>
  <w:num w:numId="3">
    <w:abstractNumId w:val="14712894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link w:val="12"/>
    <w:uiPriority w:val="0"/>
    <w:pPr>
      <w:widowControl/>
      <w:jc w:val="left"/>
    </w:pPr>
    <w:rPr>
      <w:rFonts w:ascii="Times New Roman" w:hAnsi="Times New Roman" w:eastAsia="楷体_GB2312"/>
      <w:kern w:val="0"/>
      <w:sz w:val="28"/>
      <w:szCs w:val="20"/>
    </w:rPr>
  </w:style>
  <w:style w:type="paragraph" w:styleId="3">
    <w:name w:val="Balloon Text"/>
    <w:basedOn w:val="1"/>
    <w:link w:val="9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列出段落1"/>
    <w:basedOn w:val="1"/>
    <w:uiPriority w:val="99"/>
    <w:pPr>
      <w:ind w:firstLine="420" w:firstLineChars="200"/>
    </w:pPr>
    <w:rPr>
      <w:rFonts w:ascii="Times New Roman" w:hAnsi="Times New Roman"/>
      <w:szCs w:val="24"/>
    </w:rPr>
  </w:style>
  <w:style w:type="character" w:customStyle="1" w:styleId="9">
    <w:name w:val="批注框文本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6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正文文本 Char"/>
    <w:basedOn w:val="6"/>
    <w:link w:val="2"/>
    <w:uiPriority w:val="0"/>
    <w:rPr>
      <w:rFonts w:ascii="Times New Roman" w:hAnsi="Times New Roman" w:eastAsia="楷体_GB2312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378</Words>
  <Characters>2158</Characters>
  <Lines>17</Lines>
  <Paragraphs>5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2013-12-16T03:36:00Z</dcterms:created>
  <dc:creator>微软用户</dc:creator>
  <cp:lastModifiedBy>Administrator</cp:lastModifiedBy>
  <dcterms:modified xsi:type="dcterms:W3CDTF">2015-10-08T04:00:18Z</dcterms:modified>
  <dc:title>国家重点监控企业自行监测方案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